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Pr="000A131D" w:rsidRDefault="00C64B1B" w:rsidP="00C64B1B">
      <w:pPr>
        <w:jc w:val="center"/>
        <w:rPr>
          <w:rFonts w:ascii="Lato" w:hAnsi="Lato"/>
          <w:sz w:val="20"/>
          <w:szCs w:val="20"/>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0A131D" w:rsidTr="00A06425">
        <w:tc>
          <w:tcPr>
            <w:tcW w:w="15388" w:type="dxa"/>
            <w:gridSpan w:val="6"/>
            <w:shd w:val="clear" w:color="auto" w:fill="auto"/>
            <w:vAlign w:val="center"/>
          </w:tcPr>
          <w:p w:rsidR="00A06425" w:rsidRPr="00295684" w:rsidRDefault="00A06425" w:rsidP="00B871B6">
            <w:pPr>
              <w:spacing w:before="120" w:after="120"/>
              <w:rPr>
                <w:rFonts w:ascii="Lato" w:hAnsi="Lato" w:cstheme="minorHAnsi"/>
                <w:b/>
                <w:i/>
                <w:sz w:val="20"/>
                <w:szCs w:val="20"/>
              </w:rPr>
            </w:pPr>
            <w:r w:rsidRPr="000A131D">
              <w:rPr>
                <w:rFonts w:ascii="Lato" w:hAnsi="Lato" w:cstheme="minorHAnsi"/>
                <w:b/>
                <w:i/>
                <w:sz w:val="20"/>
                <w:szCs w:val="20"/>
              </w:rPr>
              <w:t>Nazwa dokumentu:</w:t>
            </w:r>
            <w:r w:rsidR="003B4F3F">
              <w:rPr>
                <w:rFonts w:ascii="Lato" w:hAnsi="Lato" w:cstheme="minorHAnsi"/>
                <w:b/>
                <w:i/>
                <w:sz w:val="20"/>
                <w:szCs w:val="20"/>
              </w:rPr>
              <w:t xml:space="preserve"> </w:t>
            </w:r>
            <w:r w:rsidR="00295684" w:rsidRPr="00295684">
              <w:rPr>
                <w:rFonts w:asciiTheme="minorHAnsi" w:hAnsiTheme="minorHAnsi" w:cstheme="minorHAnsi"/>
                <w:b/>
                <w:i/>
                <w:sz w:val="20"/>
                <w:szCs w:val="20"/>
              </w:rPr>
              <w:t xml:space="preserve"> </w:t>
            </w:r>
            <w:hyperlink r:id="rId8" w:history="1">
              <w:r w:rsidR="00295684" w:rsidRPr="00295684">
                <w:rPr>
                  <w:rStyle w:val="Hipercze"/>
                  <w:rFonts w:asciiTheme="minorHAnsi" w:hAnsiTheme="minorHAnsi" w:cstheme="minorHAnsi"/>
                  <w:b/>
                  <w:bCs/>
                  <w:color w:val="auto"/>
                  <w:u w:val="none"/>
                </w:rPr>
                <w:t>projekt ustawy o zmianie niektórych ustaw w celu deregulacji prawa gospodarczego i administracyjnego oraz doskonalenia zasad opracowywania prawa gospodarczego</w:t>
              </w:r>
            </w:hyperlink>
            <w:r w:rsidR="00295684">
              <w:rPr>
                <w:rFonts w:asciiTheme="minorHAnsi" w:hAnsiTheme="minorHAnsi" w:cstheme="minorHAnsi"/>
                <w:b/>
                <w:bCs/>
              </w:rPr>
              <w:t xml:space="preserve"> (UA8)</w:t>
            </w:r>
          </w:p>
        </w:tc>
      </w:tr>
      <w:tr w:rsidR="00A06425" w:rsidRPr="000A131D" w:rsidTr="00A06425">
        <w:tc>
          <w:tcPr>
            <w:tcW w:w="562" w:type="dxa"/>
            <w:shd w:val="clear" w:color="auto" w:fill="auto"/>
            <w:vAlign w:val="center"/>
          </w:tcPr>
          <w:p w:rsidR="00A06425" w:rsidRPr="000A131D" w:rsidRDefault="00A06425" w:rsidP="004D086F">
            <w:pPr>
              <w:jc w:val="center"/>
              <w:rPr>
                <w:rFonts w:ascii="Lato" w:hAnsi="Lato" w:cstheme="minorHAnsi"/>
                <w:b/>
                <w:sz w:val="20"/>
                <w:szCs w:val="20"/>
              </w:rPr>
            </w:pPr>
            <w:r w:rsidRPr="000A131D">
              <w:rPr>
                <w:rFonts w:ascii="Lato" w:hAnsi="Lato" w:cstheme="minorHAnsi"/>
                <w:b/>
                <w:sz w:val="20"/>
                <w:szCs w:val="20"/>
              </w:rPr>
              <w:t>Lp.</w:t>
            </w:r>
          </w:p>
        </w:tc>
        <w:tc>
          <w:tcPr>
            <w:tcW w:w="1134" w:type="dxa"/>
            <w:shd w:val="clear" w:color="auto" w:fill="auto"/>
            <w:vAlign w:val="center"/>
          </w:tcPr>
          <w:p w:rsidR="00A06425" w:rsidRPr="000A131D" w:rsidRDefault="00A06425" w:rsidP="004D086F">
            <w:pPr>
              <w:jc w:val="center"/>
              <w:rPr>
                <w:rFonts w:ascii="Lato" w:hAnsi="Lato" w:cstheme="minorHAnsi"/>
                <w:b/>
                <w:sz w:val="20"/>
                <w:szCs w:val="20"/>
              </w:rPr>
            </w:pPr>
            <w:r w:rsidRPr="000A131D">
              <w:rPr>
                <w:rFonts w:ascii="Lato" w:hAnsi="Lato" w:cstheme="minorHAnsi"/>
                <w:b/>
                <w:sz w:val="20"/>
                <w:szCs w:val="20"/>
              </w:rPr>
              <w:t>Organ wnoszący uwagi</w:t>
            </w:r>
          </w:p>
        </w:tc>
        <w:tc>
          <w:tcPr>
            <w:tcW w:w="1843" w:type="dxa"/>
            <w:shd w:val="clear" w:color="auto" w:fill="auto"/>
            <w:vAlign w:val="center"/>
          </w:tcPr>
          <w:p w:rsidR="00A06425" w:rsidRPr="000A131D" w:rsidRDefault="00A06425" w:rsidP="004D086F">
            <w:pPr>
              <w:jc w:val="center"/>
              <w:rPr>
                <w:rFonts w:ascii="Lato" w:hAnsi="Lato" w:cstheme="minorHAnsi"/>
                <w:b/>
                <w:sz w:val="20"/>
                <w:szCs w:val="20"/>
              </w:rPr>
            </w:pPr>
            <w:r w:rsidRPr="000A131D">
              <w:rPr>
                <w:rFonts w:ascii="Lato" w:hAnsi="Lato" w:cstheme="minorHAnsi"/>
                <w:b/>
                <w:sz w:val="20"/>
                <w:szCs w:val="20"/>
              </w:rPr>
              <w:t>Jednostka redakcyjna, do której wnoszone są uwagi</w:t>
            </w:r>
          </w:p>
        </w:tc>
        <w:tc>
          <w:tcPr>
            <w:tcW w:w="4678" w:type="dxa"/>
            <w:shd w:val="clear" w:color="auto" w:fill="auto"/>
            <w:vAlign w:val="center"/>
          </w:tcPr>
          <w:p w:rsidR="00A06425" w:rsidRPr="000A131D" w:rsidRDefault="00A06425" w:rsidP="004D086F">
            <w:pPr>
              <w:jc w:val="center"/>
              <w:rPr>
                <w:rFonts w:ascii="Lato" w:hAnsi="Lato" w:cstheme="minorHAnsi"/>
                <w:b/>
                <w:sz w:val="20"/>
                <w:szCs w:val="20"/>
              </w:rPr>
            </w:pPr>
            <w:r w:rsidRPr="000A131D">
              <w:rPr>
                <w:rFonts w:ascii="Lato" w:hAnsi="Lato" w:cstheme="minorHAnsi"/>
                <w:b/>
                <w:sz w:val="20"/>
                <w:szCs w:val="20"/>
              </w:rPr>
              <w:t>Treść uwagi</w:t>
            </w:r>
          </w:p>
        </w:tc>
        <w:tc>
          <w:tcPr>
            <w:tcW w:w="5812" w:type="dxa"/>
            <w:shd w:val="clear" w:color="auto" w:fill="auto"/>
            <w:vAlign w:val="center"/>
          </w:tcPr>
          <w:p w:rsidR="00A06425" w:rsidRPr="000A131D" w:rsidRDefault="00A06425" w:rsidP="004D086F">
            <w:pPr>
              <w:jc w:val="center"/>
              <w:rPr>
                <w:rFonts w:ascii="Lato" w:hAnsi="Lato" w:cstheme="minorHAnsi"/>
                <w:b/>
                <w:sz w:val="20"/>
                <w:szCs w:val="20"/>
              </w:rPr>
            </w:pPr>
            <w:r w:rsidRPr="000A131D">
              <w:rPr>
                <w:rFonts w:ascii="Lato" w:hAnsi="Lato" w:cstheme="minorHAnsi"/>
                <w:b/>
                <w:sz w:val="20"/>
                <w:szCs w:val="20"/>
              </w:rPr>
              <w:t>Propozycja zmian zapisu</w:t>
            </w:r>
          </w:p>
        </w:tc>
        <w:tc>
          <w:tcPr>
            <w:tcW w:w="1359" w:type="dxa"/>
            <w:vAlign w:val="center"/>
          </w:tcPr>
          <w:p w:rsidR="00A06425" w:rsidRPr="000A131D" w:rsidRDefault="00A06425" w:rsidP="00A06425">
            <w:pPr>
              <w:jc w:val="center"/>
              <w:rPr>
                <w:rFonts w:ascii="Lato" w:hAnsi="Lato" w:cstheme="minorHAnsi"/>
                <w:b/>
                <w:sz w:val="20"/>
                <w:szCs w:val="20"/>
              </w:rPr>
            </w:pPr>
            <w:r w:rsidRPr="000A131D">
              <w:rPr>
                <w:rFonts w:ascii="Lato" w:hAnsi="Lato" w:cstheme="minorHAnsi"/>
                <w:b/>
                <w:sz w:val="20"/>
                <w:szCs w:val="20"/>
              </w:rPr>
              <w:t>Odniesienie do uwagi</w:t>
            </w:r>
          </w:p>
        </w:tc>
      </w:tr>
      <w:tr w:rsidR="00A06425" w:rsidRPr="000A131D" w:rsidTr="003F6982">
        <w:trPr>
          <w:trHeight w:val="2684"/>
        </w:trPr>
        <w:tc>
          <w:tcPr>
            <w:tcW w:w="562" w:type="dxa"/>
            <w:shd w:val="clear" w:color="auto" w:fill="auto"/>
          </w:tcPr>
          <w:p w:rsidR="00A06425" w:rsidRPr="000A131D" w:rsidRDefault="00DC29C2" w:rsidP="00A06425">
            <w:pPr>
              <w:spacing w:before="120" w:after="120"/>
              <w:jc w:val="center"/>
              <w:rPr>
                <w:rFonts w:ascii="Lato" w:hAnsi="Lato" w:cstheme="minorHAnsi"/>
                <w:b/>
                <w:sz w:val="20"/>
                <w:szCs w:val="20"/>
              </w:rPr>
            </w:pPr>
            <w:r w:rsidRPr="000A131D">
              <w:rPr>
                <w:rFonts w:ascii="Lato" w:hAnsi="Lato" w:cstheme="minorHAnsi"/>
                <w:b/>
                <w:sz w:val="20"/>
                <w:szCs w:val="20"/>
              </w:rPr>
              <w:t>1</w:t>
            </w:r>
          </w:p>
        </w:tc>
        <w:tc>
          <w:tcPr>
            <w:tcW w:w="1134" w:type="dxa"/>
            <w:shd w:val="clear" w:color="auto" w:fill="auto"/>
          </w:tcPr>
          <w:p w:rsidR="00A06425" w:rsidRPr="000A131D" w:rsidRDefault="007C3E31" w:rsidP="004D086F">
            <w:pPr>
              <w:spacing w:before="60" w:after="60"/>
              <w:jc w:val="center"/>
              <w:rPr>
                <w:rFonts w:ascii="Lato" w:hAnsi="Lato" w:cstheme="minorHAnsi"/>
                <w:b/>
                <w:sz w:val="20"/>
                <w:szCs w:val="20"/>
              </w:rPr>
            </w:pPr>
            <w:r w:rsidRPr="000A131D">
              <w:rPr>
                <w:rFonts w:ascii="Lato" w:hAnsi="Lato" w:cstheme="minorHAnsi"/>
                <w:b/>
                <w:sz w:val="20"/>
                <w:szCs w:val="20"/>
              </w:rPr>
              <w:t>MSWiA</w:t>
            </w:r>
          </w:p>
        </w:tc>
        <w:tc>
          <w:tcPr>
            <w:tcW w:w="1843" w:type="dxa"/>
            <w:shd w:val="clear" w:color="auto" w:fill="auto"/>
          </w:tcPr>
          <w:p w:rsidR="007C3E31" w:rsidRPr="000A131D" w:rsidRDefault="007C3E31" w:rsidP="007C3E31">
            <w:pPr>
              <w:jc w:val="center"/>
              <w:rPr>
                <w:rFonts w:ascii="Lato" w:hAnsi="Lato" w:cstheme="minorHAnsi"/>
                <w:sz w:val="20"/>
                <w:szCs w:val="20"/>
              </w:rPr>
            </w:pPr>
            <w:r w:rsidRPr="000A131D">
              <w:rPr>
                <w:rFonts w:ascii="Lato" w:hAnsi="Lato" w:cstheme="minorHAnsi"/>
                <w:sz w:val="20"/>
                <w:szCs w:val="20"/>
              </w:rPr>
              <w:t>Art. 1 pkt 2 projektu ustawy</w:t>
            </w:r>
          </w:p>
          <w:p w:rsidR="007C3E31" w:rsidRPr="000A131D" w:rsidRDefault="007C3E31" w:rsidP="007C3E31">
            <w:pPr>
              <w:jc w:val="center"/>
              <w:rPr>
                <w:rFonts w:ascii="Lato" w:hAnsi="Lato" w:cstheme="minorHAnsi"/>
                <w:sz w:val="20"/>
                <w:szCs w:val="20"/>
              </w:rPr>
            </w:pPr>
          </w:p>
          <w:p w:rsidR="00A06425" w:rsidRPr="000A131D" w:rsidRDefault="007C3E31" w:rsidP="007C3E31">
            <w:pPr>
              <w:jc w:val="center"/>
              <w:rPr>
                <w:rFonts w:ascii="Lato" w:hAnsi="Lato" w:cstheme="minorHAnsi"/>
                <w:sz w:val="20"/>
                <w:szCs w:val="20"/>
              </w:rPr>
            </w:pPr>
            <w:r w:rsidRPr="000A131D">
              <w:rPr>
                <w:rFonts w:ascii="Lato" w:hAnsi="Lato" w:cstheme="minorHAnsi"/>
                <w:sz w:val="20"/>
                <w:szCs w:val="20"/>
              </w:rPr>
              <w:t xml:space="preserve">dot. art. 96 ust.  1a </w:t>
            </w:r>
            <w:r w:rsidR="00C07449" w:rsidRPr="000A131D">
              <w:rPr>
                <w:rFonts w:ascii="Lato" w:hAnsi="Lato" w:cstheme="minorHAnsi"/>
                <w:sz w:val="20"/>
                <w:szCs w:val="20"/>
              </w:rPr>
              <w:t xml:space="preserve">i 1b </w:t>
            </w:r>
            <w:r w:rsidRPr="000A131D">
              <w:rPr>
                <w:rFonts w:ascii="Lato" w:hAnsi="Lato" w:cstheme="minorHAnsi"/>
                <w:sz w:val="20"/>
                <w:szCs w:val="20"/>
              </w:rPr>
              <w:t xml:space="preserve">ustawy </w:t>
            </w:r>
            <w:r w:rsidRPr="000A131D">
              <w:rPr>
                <w:rFonts w:ascii="Lato" w:hAnsi="Lato" w:cstheme="minorHAnsi"/>
                <w:sz w:val="20"/>
                <w:szCs w:val="20"/>
              </w:rPr>
              <w:br/>
              <w:t>z dnia 14 czerwca 1960 r. – Kodeks postępowania administracyjnego</w:t>
            </w:r>
            <w:r w:rsidRPr="000A131D">
              <w:rPr>
                <w:rFonts w:ascii="Lato" w:hAnsi="Lato"/>
                <w:sz w:val="20"/>
                <w:szCs w:val="20"/>
              </w:rPr>
              <w:t xml:space="preserve"> </w:t>
            </w:r>
          </w:p>
        </w:tc>
        <w:tc>
          <w:tcPr>
            <w:tcW w:w="4678" w:type="dxa"/>
            <w:shd w:val="clear" w:color="auto" w:fill="auto"/>
          </w:tcPr>
          <w:p w:rsidR="00C07449" w:rsidRPr="000A131D" w:rsidRDefault="00C07449" w:rsidP="00C07449">
            <w:pPr>
              <w:autoSpaceDE w:val="0"/>
              <w:autoSpaceDN w:val="0"/>
              <w:adjustRightInd w:val="0"/>
              <w:spacing w:after="160" w:line="259" w:lineRule="auto"/>
              <w:jc w:val="both"/>
              <w:rPr>
                <w:rFonts w:ascii="Lato" w:eastAsia="Aptos" w:hAnsi="Lato" w:cs="TimesNewRomanPSMT"/>
                <w:bCs/>
                <w:i/>
                <w:kern w:val="2"/>
                <w:sz w:val="20"/>
                <w:szCs w:val="20"/>
                <w:lang w:eastAsia="en-US"/>
                <w14:ligatures w14:val="standardContextual"/>
              </w:rPr>
            </w:pPr>
            <w:r w:rsidRPr="000A131D">
              <w:rPr>
                <w:rFonts w:ascii="Lato" w:eastAsia="Aptos" w:hAnsi="Lato" w:cs="TimesNewRomanPSMT"/>
                <w:kern w:val="2"/>
                <w:sz w:val="20"/>
                <w:szCs w:val="20"/>
                <w:lang w:eastAsia="en-US"/>
                <w14:ligatures w14:val="standardContextual"/>
              </w:rPr>
              <w:t xml:space="preserve">Wątpliwość budzi treść art. 96a § 1a i 1b kpa. Wydaje się, że możliwość prowadzenia mediacji </w:t>
            </w:r>
            <w:r w:rsidRPr="000A131D">
              <w:rPr>
                <w:rFonts w:ascii="Lato" w:eastAsia="Aptos" w:hAnsi="Lato" w:cs="TimesNewRomanPSMT"/>
                <w:kern w:val="2"/>
                <w:sz w:val="20"/>
                <w:szCs w:val="20"/>
                <w:lang w:eastAsia="en-US"/>
                <w14:ligatures w14:val="standardContextual"/>
              </w:rPr>
              <w:br/>
              <w:t xml:space="preserve">w danej sprawie powinna wynikać z przepisów prawa materialnego oraz liczby stron postępowania (co najemnej dwóch). Zamieszczenie w kpa ogólnych typów/rodzajów spraw, w których mediacja jest dopuszczalna nie wydaje się rozwiązaniem racjonalnym. Mediacja powinna być stosowana w sprawach, w których występuje organ administracji publicznej, jako gospodarz postępowania i co najmniej dwie strony </w:t>
            </w:r>
            <w:r w:rsidRPr="000A131D">
              <w:rPr>
                <w:rFonts w:ascii="Lato" w:eastAsia="Aptos" w:hAnsi="Lato" w:cs="TimesNewRomanPSMT"/>
                <w:kern w:val="2"/>
                <w:sz w:val="20"/>
                <w:szCs w:val="20"/>
                <w:lang w:eastAsia="en-US"/>
                <w14:ligatures w14:val="standardContextual"/>
              </w:rPr>
              <w:br/>
              <w:t xml:space="preserve">o sprzecznych interesach. W takiej sytuacji instytucja mediacji mogłaby stanowić środek pozwalający na przedstawienie swoich racji stron postępowania administracyjnego przed organem. Mediacja stanowiłaby uzupełnienie instytucji ugody administracyjnej oraz rozprawy administracyjnej. W zaproponowanym brzmieniu art. 96a § 1a i 1b kpa, ustawodawca de facto obliguje organ administracji publicznej do przeprowadzenia mediacji, jeżeli o to wnosi strona, poprzez jednoznaczne rozstrzygniecie, że: </w:t>
            </w:r>
            <w:r w:rsidRPr="000A131D">
              <w:rPr>
                <w:rFonts w:ascii="Lato" w:eastAsia="Aptos" w:hAnsi="Lato" w:cs="TimesNewRomanPSMT"/>
                <w:b/>
                <w:i/>
                <w:kern w:val="2"/>
                <w:sz w:val="20"/>
                <w:szCs w:val="20"/>
                <w:lang w:eastAsia="en-US"/>
                <w14:ligatures w14:val="standardContextual"/>
              </w:rPr>
              <w:t>Sprawą, której charakter pozwala na przeprowadzenie mediacji,</w:t>
            </w:r>
            <w:r w:rsidRPr="000A131D">
              <w:rPr>
                <w:rFonts w:ascii="Lato" w:eastAsia="Aptos" w:hAnsi="Lato" w:cs="TimesNewRomanPSMT"/>
                <w:i/>
                <w:kern w:val="2"/>
                <w:sz w:val="20"/>
                <w:szCs w:val="20"/>
                <w:lang w:eastAsia="en-US"/>
                <w14:ligatures w14:val="standardContextual"/>
              </w:rPr>
              <w:t xml:space="preserve"> </w:t>
            </w:r>
            <w:r w:rsidRPr="000A131D">
              <w:rPr>
                <w:rFonts w:ascii="Lato" w:eastAsia="Aptos" w:hAnsi="Lato" w:cs="TimesNewRomanPSMT"/>
                <w:b/>
                <w:i/>
                <w:kern w:val="2"/>
                <w:sz w:val="20"/>
                <w:szCs w:val="20"/>
                <w:lang w:eastAsia="en-US"/>
                <w14:ligatures w14:val="standardContextual"/>
              </w:rPr>
              <w:t xml:space="preserve">jest </w:t>
            </w:r>
            <w:r w:rsidRPr="000A131D">
              <w:rPr>
                <w:rFonts w:ascii="Lato" w:eastAsia="Aptos" w:hAnsi="Lato" w:cs="TimesNewRomanPSMT"/>
                <w:i/>
                <w:kern w:val="2"/>
                <w:sz w:val="20"/>
                <w:szCs w:val="20"/>
                <w:lang w:eastAsia="en-US"/>
                <w14:ligatures w14:val="standardContextual"/>
              </w:rPr>
              <w:t xml:space="preserve">w szczególności sprawa rozstrzygana </w:t>
            </w:r>
            <w:r w:rsidRPr="000A131D">
              <w:rPr>
                <w:rFonts w:ascii="Lato" w:eastAsia="Aptos" w:hAnsi="Lato" w:cs="TimesNewRomanPSMT"/>
                <w:i/>
                <w:kern w:val="2"/>
                <w:sz w:val="20"/>
                <w:szCs w:val="20"/>
                <w:lang w:eastAsia="en-US"/>
                <w14:ligatures w14:val="standardContextual"/>
              </w:rPr>
              <w:br/>
              <w:t xml:space="preserve">w ramach uznania administracyjnego lub dotycząca:  1) </w:t>
            </w:r>
            <w:r w:rsidRPr="000A131D">
              <w:rPr>
                <w:rFonts w:ascii="Lato" w:eastAsia="Aptos" w:hAnsi="Lato" w:cs="TimesNewRomanPSMT"/>
                <w:bCs/>
                <w:i/>
                <w:kern w:val="2"/>
                <w:sz w:val="20"/>
                <w:szCs w:val="20"/>
                <w:lang w:eastAsia="en-US"/>
                <w14:ligatures w14:val="standardContextual"/>
              </w:rPr>
              <w:t>koncesji, zezwoleń lub pozwoleń na prowadzenie działalności gospodarczej;</w:t>
            </w:r>
            <w:r w:rsidRPr="000A131D">
              <w:rPr>
                <w:rFonts w:ascii="Lato" w:eastAsia="Aptos" w:hAnsi="Lato" w:cs="TimesNewRomanPSMT"/>
                <w:i/>
                <w:kern w:val="2"/>
                <w:sz w:val="20"/>
                <w:szCs w:val="20"/>
                <w:lang w:eastAsia="en-US"/>
                <w14:ligatures w14:val="standardContextual"/>
              </w:rPr>
              <w:t xml:space="preserve"> 2) </w:t>
            </w:r>
            <w:r w:rsidRPr="000A131D">
              <w:rPr>
                <w:rFonts w:ascii="Lato" w:eastAsia="Aptos" w:hAnsi="Lato" w:cs="TimesNewRomanPSMT"/>
                <w:bCs/>
                <w:i/>
                <w:kern w:val="2"/>
                <w:sz w:val="20"/>
                <w:szCs w:val="20"/>
                <w:lang w:eastAsia="en-US"/>
                <w14:ligatures w14:val="standardContextual"/>
              </w:rPr>
              <w:t xml:space="preserve">budownictwa </w:t>
            </w:r>
            <w:r w:rsidRPr="000A131D">
              <w:rPr>
                <w:rFonts w:ascii="Lato" w:eastAsia="Aptos" w:hAnsi="Lato" w:cs="TimesNewRomanPSMT"/>
                <w:bCs/>
                <w:i/>
                <w:kern w:val="2"/>
                <w:sz w:val="20"/>
                <w:szCs w:val="20"/>
                <w:lang w:eastAsia="en-US"/>
                <w14:ligatures w14:val="standardContextual"/>
              </w:rPr>
              <w:br/>
              <w:t>i architektury;</w:t>
            </w:r>
            <w:r w:rsidRPr="000A131D">
              <w:rPr>
                <w:rFonts w:ascii="Lato" w:eastAsia="Aptos" w:hAnsi="Lato" w:cs="TimesNewRomanPSMT"/>
                <w:i/>
                <w:kern w:val="2"/>
                <w:sz w:val="20"/>
                <w:szCs w:val="20"/>
                <w:lang w:eastAsia="en-US"/>
                <w14:ligatures w14:val="standardContextual"/>
              </w:rPr>
              <w:t xml:space="preserve"> 3) </w:t>
            </w:r>
            <w:r w:rsidRPr="000A131D">
              <w:rPr>
                <w:rFonts w:ascii="Lato" w:eastAsia="Aptos" w:hAnsi="Lato" w:cs="TimesNewRomanPSMT"/>
                <w:bCs/>
                <w:i/>
                <w:kern w:val="2"/>
                <w:sz w:val="20"/>
                <w:szCs w:val="20"/>
                <w:lang w:eastAsia="en-US"/>
                <w14:ligatures w14:val="standardContextual"/>
              </w:rPr>
              <w:t>zagospodarowania przestrzennego;</w:t>
            </w:r>
            <w:r w:rsidRPr="000A131D">
              <w:rPr>
                <w:rFonts w:ascii="Lato" w:eastAsia="Aptos" w:hAnsi="Lato" w:cs="TimesNewRomanPSMT"/>
                <w:i/>
                <w:kern w:val="2"/>
                <w:sz w:val="20"/>
                <w:szCs w:val="20"/>
                <w:lang w:eastAsia="en-US"/>
                <w14:ligatures w14:val="standardContextual"/>
              </w:rPr>
              <w:t xml:space="preserve"> 4) </w:t>
            </w:r>
            <w:r w:rsidRPr="000A131D">
              <w:rPr>
                <w:rFonts w:ascii="Lato" w:eastAsia="Aptos" w:hAnsi="Lato" w:cs="TimesNewRomanPSMT"/>
                <w:bCs/>
                <w:i/>
                <w:kern w:val="2"/>
                <w:sz w:val="20"/>
                <w:szCs w:val="20"/>
                <w:lang w:eastAsia="en-US"/>
                <w14:ligatures w14:val="standardContextual"/>
              </w:rPr>
              <w:t>ochrony środowiska i przyrody;</w:t>
            </w:r>
            <w:r w:rsidRPr="000A131D">
              <w:rPr>
                <w:rFonts w:ascii="Lato" w:eastAsia="Aptos" w:hAnsi="Lato" w:cs="TimesNewRomanPSMT"/>
                <w:i/>
                <w:kern w:val="2"/>
                <w:sz w:val="20"/>
                <w:szCs w:val="20"/>
                <w:lang w:eastAsia="en-US"/>
                <w14:ligatures w14:val="standardContextual"/>
              </w:rPr>
              <w:t xml:space="preserve"> 5) </w:t>
            </w:r>
            <w:r w:rsidRPr="000A131D">
              <w:rPr>
                <w:rFonts w:ascii="Lato" w:eastAsia="Aptos" w:hAnsi="Lato" w:cs="TimesNewRomanPSMT"/>
                <w:bCs/>
                <w:i/>
                <w:kern w:val="2"/>
                <w:sz w:val="20"/>
                <w:szCs w:val="20"/>
                <w:lang w:eastAsia="en-US"/>
                <w14:ligatures w14:val="standardContextual"/>
              </w:rPr>
              <w:t xml:space="preserve">gospodarki </w:t>
            </w:r>
            <w:r w:rsidRPr="000A131D">
              <w:rPr>
                <w:rFonts w:ascii="Lato" w:eastAsia="Aptos" w:hAnsi="Lato" w:cs="TimesNewRomanPSMT"/>
                <w:bCs/>
                <w:i/>
                <w:kern w:val="2"/>
                <w:sz w:val="20"/>
                <w:szCs w:val="20"/>
                <w:lang w:eastAsia="en-US"/>
                <w14:ligatures w14:val="standardContextual"/>
              </w:rPr>
              <w:lastRenderedPageBreak/>
              <w:t>wodnej;</w:t>
            </w:r>
            <w:r w:rsidRPr="000A131D">
              <w:rPr>
                <w:rFonts w:ascii="Lato" w:eastAsia="Aptos" w:hAnsi="Lato" w:cs="TimesNewRomanPSMT"/>
                <w:i/>
                <w:kern w:val="2"/>
                <w:sz w:val="20"/>
                <w:szCs w:val="20"/>
                <w:lang w:eastAsia="en-US"/>
                <w14:ligatures w14:val="standardContextual"/>
              </w:rPr>
              <w:t xml:space="preserve"> 6) </w:t>
            </w:r>
            <w:r w:rsidRPr="000A131D">
              <w:rPr>
                <w:rFonts w:ascii="Lato" w:eastAsia="Aptos" w:hAnsi="Lato" w:cs="TimesNewRomanPSMT"/>
                <w:bCs/>
                <w:i/>
                <w:kern w:val="2"/>
                <w:sz w:val="20"/>
                <w:szCs w:val="20"/>
                <w:lang w:eastAsia="en-US"/>
                <w14:ligatures w14:val="standardContextual"/>
              </w:rPr>
              <w:t>nieruchomości;</w:t>
            </w:r>
            <w:r w:rsidRPr="000A131D">
              <w:rPr>
                <w:rFonts w:ascii="Lato" w:eastAsia="Aptos" w:hAnsi="Lato" w:cs="TimesNewRomanPSMT"/>
                <w:i/>
                <w:kern w:val="2"/>
                <w:sz w:val="20"/>
                <w:szCs w:val="20"/>
                <w:lang w:eastAsia="en-US"/>
                <w14:ligatures w14:val="standardContextual"/>
              </w:rPr>
              <w:t xml:space="preserve"> 7) </w:t>
            </w:r>
            <w:r w:rsidRPr="000A131D">
              <w:rPr>
                <w:rFonts w:ascii="Lato" w:eastAsia="Aptos" w:hAnsi="Lato" w:cs="TimesNewRomanPSMT"/>
                <w:bCs/>
                <w:i/>
                <w:kern w:val="2"/>
                <w:sz w:val="20"/>
                <w:szCs w:val="20"/>
                <w:lang w:eastAsia="en-US"/>
                <w14:ligatures w14:val="standardContextual"/>
              </w:rPr>
              <w:t>rolnictwa i leśnictwa;</w:t>
            </w:r>
            <w:r w:rsidRPr="000A131D">
              <w:rPr>
                <w:rFonts w:ascii="Lato" w:eastAsia="Aptos" w:hAnsi="Lato" w:cs="TimesNewRomanPSMT"/>
                <w:i/>
                <w:kern w:val="2"/>
                <w:sz w:val="20"/>
                <w:szCs w:val="20"/>
                <w:lang w:eastAsia="en-US"/>
                <w14:ligatures w14:val="standardContextual"/>
              </w:rPr>
              <w:t xml:space="preserve"> 8) </w:t>
            </w:r>
            <w:r w:rsidRPr="000A131D">
              <w:rPr>
                <w:rFonts w:ascii="Lato" w:eastAsia="Aptos" w:hAnsi="Lato" w:cs="TimesNewRomanPSMT"/>
                <w:bCs/>
                <w:i/>
                <w:kern w:val="2"/>
                <w:sz w:val="20"/>
                <w:szCs w:val="20"/>
                <w:lang w:eastAsia="en-US"/>
                <w14:ligatures w14:val="standardContextual"/>
              </w:rPr>
              <w:t xml:space="preserve">własności przemysłowej. </w:t>
            </w:r>
          </w:p>
          <w:p w:rsidR="00C07449" w:rsidRPr="000A131D" w:rsidRDefault="00C07449" w:rsidP="00C07449">
            <w:pPr>
              <w:autoSpaceDE w:val="0"/>
              <w:autoSpaceDN w:val="0"/>
              <w:adjustRightInd w:val="0"/>
              <w:spacing w:after="160" w:line="259" w:lineRule="auto"/>
              <w:jc w:val="both"/>
              <w:rPr>
                <w:rFonts w:ascii="Lato" w:eastAsia="Aptos" w:hAnsi="Lato" w:cs="TimesNewRomanPSMT"/>
                <w:bCs/>
                <w:i/>
                <w:kern w:val="2"/>
                <w:sz w:val="20"/>
                <w:szCs w:val="20"/>
                <w:lang w:eastAsia="en-US"/>
                <w14:ligatures w14:val="standardContextual"/>
              </w:rPr>
            </w:pPr>
            <w:r w:rsidRPr="000A131D">
              <w:rPr>
                <w:rFonts w:ascii="Lato" w:eastAsia="Aptos" w:hAnsi="Lato" w:cs="TimesNewRomanPSMT"/>
                <w:bCs/>
                <w:kern w:val="2"/>
                <w:sz w:val="20"/>
                <w:szCs w:val="20"/>
                <w:lang w:eastAsia="en-US"/>
                <w14:ligatures w14:val="standardContextual"/>
              </w:rPr>
              <w:t xml:space="preserve">W kontekście powyższego niezrozumiały jest przepis projektowanego art. 96a § 1b pkt 1, zgodnie, z którym </w:t>
            </w:r>
            <w:r w:rsidRPr="000A131D">
              <w:rPr>
                <w:rFonts w:ascii="Lato" w:eastAsia="Aptos" w:hAnsi="Lato" w:cs="TimesNewRomanPSMT"/>
                <w:bCs/>
                <w:i/>
                <w:kern w:val="2"/>
                <w:sz w:val="20"/>
                <w:szCs w:val="20"/>
                <w:lang w:eastAsia="en-US"/>
                <w14:ligatures w14:val="standardContextual"/>
              </w:rPr>
              <w:t>Organ administracji publicznej sporządza i dołącza do akt ocenę, w drodze adnotacji, czy: 1) charakter sprawy pozwala na przeprowadzenie mediacji oraz (…).</w:t>
            </w:r>
          </w:p>
          <w:p w:rsidR="00C07449" w:rsidRPr="000A131D" w:rsidRDefault="00C07449" w:rsidP="00C07449">
            <w:pPr>
              <w:autoSpaceDE w:val="0"/>
              <w:autoSpaceDN w:val="0"/>
              <w:adjustRightInd w:val="0"/>
              <w:spacing w:after="160" w:line="259" w:lineRule="auto"/>
              <w:jc w:val="both"/>
              <w:rPr>
                <w:rFonts w:ascii="Lato" w:eastAsia="Aptos" w:hAnsi="Lato" w:cs="TimesNewRomanPSMT"/>
                <w:bCs/>
                <w:kern w:val="2"/>
                <w:sz w:val="20"/>
                <w:szCs w:val="20"/>
                <w:lang w:eastAsia="en-US"/>
                <w14:ligatures w14:val="standardContextual"/>
              </w:rPr>
            </w:pPr>
            <w:r w:rsidRPr="000A131D">
              <w:rPr>
                <w:rFonts w:ascii="Lato" w:eastAsia="Aptos" w:hAnsi="Lato" w:cs="TimesNewRomanPSMT"/>
                <w:bCs/>
                <w:kern w:val="2"/>
                <w:sz w:val="20"/>
                <w:szCs w:val="20"/>
                <w:lang w:eastAsia="en-US"/>
                <w14:ligatures w14:val="standardContextual"/>
              </w:rPr>
              <w:t xml:space="preserve">Widoczna jest sprzeczność w projektowanych przepisach, gdyż z jednej strony regulacja wymienia sprawy, których charakter pozwala na przeprowadzenie mediacji, a z drugiej – organ administracji publicznej ma dokonać oceny, czy charakter sprawy pozwala na mediację. Przepis art. </w:t>
            </w:r>
            <w:r w:rsidRPr="000A131D">
              <w:rPr>
                <w:rFonts w:ascii="Lato" w:eastAsia="Aptos" w:hAnsi="Lato" w:cs="TimesNewRomanPSMT"/>
                <w:kern w:val="2"/>
                <w:sz w:val="20"/>
                <w:szCs w:val="20"/>
                <w:lang w:eastAsia="en-US"/>
                <w14:ligatures w14:val="standardContextual"/>
              </w:rPr>
              <w:t>96a § 1a kpa wyklucza regulacje zawarte w art. 96a i § 1b pkt 1 kpa.</w:t>
            </w:r>
          </w:p>
          <w:p w:rsidR="00A06425" w:rsidRPr="000A131D" w:rsidRDefault="00C07449" w:rsidP="003F6982">
            <w:pPr>
              <w:jc w:val="both"/>
              <w:rPr>
                <w:rFonts w:ascii="Lato" w:hAnsi="Lato" w:cstheme="minorHAnsi"/>
                <w:sz w:val="20"/>
                <w:szCs w:val="20"/>
              </w:rPr>
            </w:pPr>
            <w:r w:rsidRPr="000A131D">
              <w:rPr>
                <w:rFonts w:ascii="Lato" w:eastAsia="Aptos" w:hAnsi="Lato" w:cs="TimesNewRomanPSMT"/>
                <w:bCs/>
                <w:kern w:val="2"/>
                <w:sz w:val="20"/>
                <w:szCs w:val="20"/>
                <w:lang w:eastAsia="en-US"/>
                <w14:ligatures w14:val="standardContextual"/>
              </w:rPr>
              <w:t xml:space="preserve">Powstaje sytuacja, w której w ramach </w:t>
            </w:r>
            <w:r w:rsidRPr="000A131D">
              <w:rPr>
                <w:rFonts w:ascii="Lato" w:eastAsia="Aptos" w:hAnsi="Lato" w:cs="TimesNewRomanPSMT"/>
                <w:bCs/>
                <w:i/>
                <w:kern w:val="2"/>
                <w:sz w:val="20"/>
                <w:szCs w:val="20"/>
                <w:lang w:eastAsia="en-US"/>
                <w14:ligatures w14:val="standardContextual"/>
              </w:rPr>
              <w:t xml:space="preserve">Sprawy </w:t>
            </w:r>
            <w:r w:rsidRPr="000A131D">
              <w:rPr>
                <w:rFonts w:ascii="Lato" w:eastAsia="Aptos" w:hAnsi="Lato" w:cs="TimesNewRomanPSMT"/>
                <w:bCs/>
                <w:kern w:val="2"/>
                <w:sz w:val="20"/>
                <w:szCs w:val="20"/>
                <w:lang w:eastAsia="en-US"/>
                <w14:ligatures w14:val="standardContextual"/>
              </w:rPr>
              <w:t xml:space="preserve">organ administracji publicznej jest dodatkowo zobligowany do oceny czy </w:t>
            </w:r>
            <w:r w:rsidRPr="000A131D">
              <w:rPr>
                <w:rFonts w:ascii="Lato" w:eastAsia="Aptos" w:hAnsi="Lato" w:cs="TimesNewRomanPSMT"/>
                <w:bCs/>
                <w:i/>
                <w:kern w:val="2"/>
                <w:sz w:val="20"/>
                <w:szCs w:val="20"/>
                <w:lang w:eastAsia="en-US"/>
                <w14:ligatures w14:val="standardContextual"/>
              </w:rPr>
              <w:t xml:space="preserve">charakter sprawy </w:t>
            </w:r>
            <w:r w:rsidRPr="000A131D">
              <w:rPr>
                <w:rFonts w:ascii="Lato" w:eastAsia="Aptos" w:hAnsi="Lato" w:cs="TimesNewRomanPSMT"/>
                <w:bCs/>
                <w:kern w:val="2"/>
                <w:sz w:val="20"/>
                <w:szCs w:val="20"/>
                <w:lang w:eastAsia="en-US"/>
                <w14:ligatures w14:val="standardContextual"/>
              </w:rPr>
              <w:t xml:space="preserve">pozwala na przeprowadzenie mediacji. Nie jest jasne jaki jest stosunek </w:t>
            </w:r>
            <w:r w:rsidRPr="000A131D">
              <w:rPr>
                <w:rFonts w:ascii="Lato" w:eastAsia="Aptos" w:hAnsi="Lato" w:cs="TimesNewRomanPSMT"/>
                <w:bCs/>
                <w:i/>
                <w:kern w:val="2"/>
                <w:sz w:val="20"/>
                <w:szCs w:val="20"/>
                <w:lang w:eastAsia="en-US"/>
                <w14:ligatures w14:val="standardContextual"/>
              </w:rPr>
              <w:t xml:space="preserve">charakteru sprawy </w:t>
            </w:r>
            <w:r w:rsidRPr="000A131D">
              <w:rPr>
                <w:rFonts w:ascii="Lato" w:eastAsia="Aptos" w:hAnsi="Lato" w:cs="TimesNewRomanPSMT"/>
                <w:bCs/>
                <w:kern w:val="2"/>
                <w:sz w:val="20"/>
                <w:szCs w:val="20"/>
                <w:lang w:eastAsia="en-US"/>
                <w14:ligatures w14:val="standardContextual"/>
              </w:rPr>
              <w:t xml:space="preserve">do </w:t>
            </w:r>
            <w:r w:rsidRPr="000A131D">
              <w:rPr>
                <w:rFonts w:ascii="Lato" w:eastAsia="Aptos" w:hAnsi="Lato" w:cs="TimesNewRomanPSMT"/>
                <w:bCs/>
                <w:i/>
                <w:kern w:val="2"/>
                <w:sz w:val="20"/>
                <w:szCs w:val="20"/>
                <w:lang w:eastAsia="en-US"/>
                <w14:ligatures w14:val="standardContextual"/>
              </w:rPr>
              <w:t xml:space="preserve">sprawy. </w:t>
            </w:r>
            <w:r w:rsidRPr="000A131D">
              <w:rPr>
                <w:rFonts w:ascii="Lato" w:eastAsia="Aptos" w:hAnsi="Lato" w:cs="TimesNewRomanPSMT"/>
                <w:bCs/>
                <w:kern w:val="2"/>
                <w:sz w:val="20"/>
                <w:szCs w:val="20"/>
                <w:lang w:eastAsia="en-US"/>
                <w14:ligatures w14:val="standardContextual"/>
              </w:rPr>
              <w:t xml:space="preserve">Kodeks postępowania administracyjnego w aktualnym brzmieniu posługuje się sformułowaniem </w:t>
            </w:r>
            <w:r w:rsidRPr="000A131D">
              <w:rPr>
                <w:rFonts w:ascii="Lato" w:eastAsia="Aptos" w:hAnsi="Lato" w:cs="TimesNewRomanPSMT"/>
                <w:bCs/>
                <w:i/>
                <w:kern w:val="2"/>
                <w:sz w:val="20"/>
                <w:szCs w:val="20"/>
                <w:lang w:eastAsia="en-US"/>
                <w14:ligatures w14:val="standardContextual"/>
              </w:rPr>
              <w:t xml:space="preserve">charakter sprawy </w:t>
            </w:r>
            <w:r w:rsidRPr="000A131D">
              <w:rPr>
                <w:rFonts w:ascii="Lato" w:eastAsia="Aptos" w:hAnsi="Lato" w:cs="TimesNewRomanPSMT"/>
                <w:bCs/>
                <w:kern w:val="2"/>
                <w:sz w:val="20"/>
                <w:szCs w:val="20"/>
                <w:lang w:eastAsia="en-US"/>
                <w14:ligatures w14:val="standardContextual"/>
              </w:rPr>
              <w:t xml:space="preserve">(np. art. 13 § 1 kpa, art. 53 kpa, art. 96a kpa § 1, art. 114 kpa). Wydaje się, że pojęcie </w:t>
            </w:r>
            <w:r w:rsidRPr="000A131D">
              <w:rPr>
                <w:rFonts w:ascii="Lato" w:eastAsia="Aptos" w:hAnsi="Lato" w:cs="TimesNewRomanPSMT"/>
                <w:bCs/>
                <w:i/>
                <w:kern w:val="2"/>
                <w:sz w:val="20"/>
                <w:szCs w:val="20"/>
                <w:lang w:eastAsia="en-US"/>
                <w14:ligatures w14:val="standardContextual"/>
              </w:rPr>
              <w:t xml:space="preserve">charakter sprawy </w:t>
            </w:r>
            <w:r w:rsidRPr="000A131D">
              <w:rPr>
                <w:rFonts w:ascii="Lato" w:eastAsia="Aptos" w:hAnsi="Lato" w:cs="TimesNewRomanPSMT"/>
                <w:bCs/>
                <w:kern w:val="2"/>
                <w:sz w:val="20"/>
                <w:szCs w:val="20"/>
                <w:lang w:eastAsia="en-US"/>
                <w14:ligatures w14:val="standardContextual"/>
              </w:rPr>
              <w:t xml:space="preserve"> jest węższe od pojęcia </w:t>
            </w:r>
            <w:r w:rsidRPr="000A131D">
              <w:rPr>
                <w:rFonts w:ascii="Lato" w:eastAsia="Aptos" w:hAnsi="Lato" w:cs="TimesNewRomanPSMT"/>
                <w:bCs/>
                <w:i/>
                <w:kern w:val="2"/>
                <w:sz w:val="20"/>
                <w:szCs w:val="20"/>
                <w:lang w:eastAsia="en-US"/>
                <w14:ligatures w14:val="standardContextual"/>
              </w:rPr>
              <w:t xml:space="preserve">sprawy. </w:t>
            </w:r>
            <w:r w:rsidRPr="000A131D">
              <w:rPr>
                <w:rFonts w:ascii="Lato" w:eastAsia="Aptos" w:hAnsi="Lato" w:cs="TimesNewRomanPSMT"/>
                <w:bCs/>
                <w:kern w:val="2"/>
                <w:sz w:val="20"/>
                <w:szCs w:val="20"/>
                <w:lang w:eastAsia="en-US"/>
                <w14:ligatures w14:val="standardContextual"/>
              </w:rPr>
              <w:t xml:space="preserve">W doktrynie wskazuje się, że </w:t>
            </w:r>
            <w:r w:rsidRPr="000A131D">
              <w:rPr>
                <w:rFonts w:ascii="Lato" w:eastAsia="Aptos" w:hAnsi="Lato" w:cs="TimesNewRomanPSMT"/>
                <w:bCs/>
                <w:i/>
                <w:kern w:val="2"/>
                <w:sz w:val="20"/>
                <w:szCs w:val="20"/>
                <w:lang w:eastAsia="en-US"/>
                <w14:ligatures w14:val="standardContextual"/>
              </w:rPr>
              <w:t xml:space="preserve">(…) Forma załatwienia sprawy indywidualnej dopuszczalna jest tylko w przypadkach, gdy sprawa administracyjna ma charakter sporny. Charakter sporny sprawy administracyjnej wynika z przepisów prawa materialnego, np. z przepisów </w:t>
            </w:r>
            <w:proofErr w:type="spellStart"/>
            <w:r w:rsidRPr="000A131D">
              <w:rPr>
                <w:rFonts w:ascii="Lato" w:eastAsia="Aptos" w:hAnsi="Lato" w:cs="TimesNewRomanPSMT"/>
                <w:bCs/>
                <w:i/>
                <w:kern w:val="2"/>
                <w:sz w:val="20"/>
                <w:szCs w:val="20"/>
                <w:lang w:eastAsia="en-US"/>
                <w14:ligatures w14:val="standardContextual"/>
              </w:rPr>
              <w:t>PrBud</w:t>
            </w:r>
            <w:proofErr w:type="spellEnd"/>
            <w:r w:rsidRPr="000A131D">
              <w:rPr>
                <w:rFonts w:ascii="Lato" w:eastAsia="Aptos" w:hAnsi="Lato" w:cs="TimesNewRomanPSMT"/>
                <w:bCs/>
                <w:i/>
                <w:kern w:val="2"/>
                <w:sz w:val="20"/>
                <w:szCs w:val="20"/>
                <w:lang w:eastAsia="en-US"/>
                <w14:ligatures w14:val="standardContextual"/>
              </w:rPr>
              <w:t xml:space="preserve"> chroniących interes osób trzecich</w:t>
            </w:r>
            <w:r w:rsidRPr="000A131D">
              <w:rPr>
                <w:rFonts w:ascii="Lato" w:eastAsia="Aptos" w:hAnsi="Lato" w:cs="TimesNewRomanPSMT"/>
                <w:bCs/>
                <w:kern w:val="2"/>
                <w:sz w:val="20"/>
                <w:szCs w:val="20"/>
                <w:lang w:eastAsia="en-US"/>
                <w14:ligatures w14:val="standardContextual"/>
              </w:rPr>
              <w:t xml:space="preserve">. (zob. </w:t>
            </w:r>
            <w:r w:rsidRPr="000A131D">
              <w:rPr>
                <w:rFonts w:ascii="Lato" w:eastAsia="Aptos" w:hAnsi="Lato" w:cs="TimesNewRomanPSMT"/>
                <w:bCs/>
                <w:i/>
                <w:iCs/>
                <w:kern w:val="2"/>
                <w:sz w:val="20"/>
                <w:szCs w:val="20"/>
                <w:lang w:eastAsia="en-US"/>
                <w14:ligatures w14:val="standardContextual"/>
              </w:rPr>
              <w:t>B. Adamiak, J. Borkowski</w:t>
            </w:r>
            <w:r w:rsidRPr="000A131D">
              <w:rPr>
                <w:rFonts w:ascii="Lato" w:eastAsia="Aptos" w:hAnsi="Lato" w:cs="TimesNewRomanPSMT"/>
                <w:bCs/>
                <w:kern w:val="2"/>
                <w:sz w:val="20"/>
                <w:szCs w:val="20"/>
                <w:lang w:eastAsia="en-US"/>
                <w14:ligatures w14:val="standardContextual"/>
              </w:rPr>
              <w:t xml:space="preserve">, Kodeks postępowania administracyjnego. Komentarz. Wyd. 19, Warszawa 2024). Istotą odróżnienia  pojęcia </w:t>
            </w:r>
            <w:r w:rsidRPr="000A131D">
              <w:rPr>
                <w:rFonts w:ascii="Lato" w:eastAsia="Aptos" w:hAnsi="Lato" w:cs="TimesNewRomanPSMT"/>
                <w:bCs/>
                <w:i/>
                <w:kern w:val="2"/>
                <w:sz w:val="20"/>
                <w:szCs w:val="20"/>
                <w:lang w:eastAsia="en-US"/>
                <w14:ligatures w14:val="standardContextual"/>
              </w:rPr>
              <w:t xml:space="preserve">sprawy </w:t>
            </w:r>
            <w:r w:rsidRPr="000A131D">
              <w:rPr>
                <w:rFonts w:ascii="Lato" w:eastAsia="Aptos" w:hAnsi="Lato" w:cs="TimesNewRomanPSMT"/>
                <w:bCs/>
                <w:kern w:val="2"/>
                <w:sz w:val="20"/>
                <w:szCs w:val="20"/>
                <w:lang w:eastAsia="en-US"/>
                <w14:ligatures w14:val="standardContextual"/>
              </w:rPr>
              <w:t xml:space="preserve">od </w:t>
            </w:r>
            <w:r w:rsidRPr="000A131D">
              <w:rPr>
                <w:rFonts w:ascii="Lato" w:eastAsia="Aptos" w:hAnsi="Lato" w:cs="TimesNewRomanPSMT"/>
                <w:bCs/>
                <w:i/>
                <w:kern w:val="2"/>
                <w:sz w:val="20"/>
                <w:szCs w:val="20"/>
                <w:lang w:eastAsia="en-US"/>
                <w14:ligatures w14:val="standardContextual"/>
              </w:rPr>
              <w:t xml:space="preserve">charakteru sprawy, </w:t>
            </w:r>
            <w:r w:rsidRPr="000A131D">
              <w:rPr>
                <w:rFonts w:ascii="Lato" w:eastAsia="Aptos" w:hAnsi="Lato" w:cs="TimesNewRomanPSMT"/>
                <w:bCs/>
                <w:kern w:val="2"/>
                <w:sz w:val="20"/>
                <w:szCs w:val="20"/>
                <w:lang w:eastAsia="en-US"/>
                <w14:ligatures w14:val="standardContextual"/>
              </w:rPr>
              <w:t xml:space="preserve">jest występujący spór w związku z prowadzonym postępowaniem </w:t>
            </w:r>
            <w:r w:rsidRPr="000A131D">
              <w:rPr>
                <w:rFonts w:ascii="Lato" w:eastAsia="Aptos" w:hAnsi="Lato" w:cs="TimesNewRomanPSMT"/>
                <w:bCs/>
                <w:kern w:val="2"/>
                <w:sz w:val="20"/>
                <w:szCs w:val="20"/>
                <w:lang w:eastAsia="en-US"/>
                <w14:ligatures w14:val="standardContextual"/>
              </w:rPr>
              <w:lastRenderedPageBreak/>
              <w:t xml:space="preserve">administracyjnym. W sprawach, których przedmiotem jest odmowa przyznania uprawnienia lub odebranie uprawnienia (np. udzielenie lub cofniecie koncesji), oczywistym jest, że występuje swoisty spór, między stroną (np. koncesjonariuszem) i organem administracji publicznej. Zastosowanie instytucji mediacji </w:t>
            </w:r>
            <w:r w:rsidR="00DC29C2" w:rsidRPr="000A131D">
              <w:rPr>
                <w:rFonts w:ascii="Lato" w:eastAsia="Aptos" w:hAnsi="Lato" w:cs="TimesNewRomanPSMT"/>
                <w:bCs/>
                <w:kern w:val="2"/>
                <w:sz w:val="20"/>
                <w:szCs w:val="20"/>
                <w:lang w:eastAsia="en-US"/>
                <w14:ligatures w14:val="standardContextual"/>
              </w:rPr>
              <w:t xml:space="preserve">                       </w:t>
            </w:r>
            <w:r w:rsidRPr="000A131D">
              <w:rPr>
                <w:rFonts w:ascii="Lato" w:eastAsia="Aptos" w:hAnsi="Lato" w:cs="TimesNewRomanPSMT"/>
                <w:bCs/>
                <w:kern w:val="2"/>
                <w:sz w:val="20"/>
                <w:szCs w:val="20"/>
                <w:lang w:eastAsia="en-US"/>
                <w14:ligatures w14:val="standardContextual"/>
              </w:rPr>
              <w:t xml:space="preserve">w takich przypadkach nie jest rozwiązaniem właściwym i nadmiarowym, w szczególności </w:t>
            </w:r>
            <w:r w:rsidR="00DC29C2" w:rsidRPr="000A131D">
              <w:rPr>
                <w:rFonts w:ascii="Lato" w:eastAsia="Aptos" w:hAnsi="Lato" w:cs="TimesNewRomanPSMT"/>
                <w:bCs/>
                <w:kern w:val="2"/>
                <w:sz w:val="20"/>
                <w:szCs w:val="20"/>
                <w:lang w:eastAsia="en-US"/>
                <w14:ligatures w14:val="standardContextual"/>
              </w:rPr>
              <w:t xml:space="preserve">                     </w:t>
            </w:r>
            <w:r w:rsidRPr="000A131D">
              <w:rPr>
                <w:rFonts w:ascii="Lato" w:eastAsia="Aptos" w:hAnsi="Lato" w:cs="TimesNewRomanPSMT"/>
                <w:bCs/>
                <w:kern w:val="2"/>
                <w:sz w:val="20"/>
                <w:szCs w:val="20"/>
                <w:lang w:eastAsia="en-US"/>
                <w14:ligatures w14:val="standardContextual"/>
              </w:rPr>
              <w:t xml:space="preserve">w przypadku postępowań objętych reglamentacją administracyjną, tj. działalnością na prowadzenie której wymagane jest posiadanie koncesji, zezwolenia lub pozwolenia. Wykonywanie projektowanych  obowiązków przez organy </w:t>
            </w:r>
            <w:r w:rsidRPr="000A131D">
              <w:rPr>
                <w:rFonts w:ascii="Lato" w:eastAsia="Aptos" w:hAnsi="Lato" w:cs="TimesNewRomanPSMT"/>
                <w:bCs/>
                <w:kern w:val="2"/>
                <w:sz w:val="20"/>
                <w:szCs w:val="20"/>
                <w:lang w:eastAsia="en-US"/>
                <w14:ligatures w14:val="standardContextual"/>
              </w:rPr>
              <w:br/>
              <w:t xml:space="preserve">w każdym postępowaniu administracyjnym </w:t>
            </w:r>
            <w:r w:rsidRPr="000A131D">
              <w:rPr>
                <w:rFonts w:ascii="Lato" w:eastAsia="Aptos" w:hAnsi="Lato" w:cs="TimesNewRomanPSMT"/>
                <w:bCs/>
                <w:kern w:val="2"/>
                <w:sz w:val="20"/>
                <w:szCs w:val="20"/>
                <w:lang w:eastAsia="en-US"/>
                <w14:ligatures w14:val="standardContextual"/>
              </w:rPr>
              <w:br/>
              <w:t>z pewnością zwiększy potrzebny nakład pracy, kosztów postępowania mediacyjnego  i spowolni załatwianie spraw. Obecnie obowiązujące przepisy kpa w sposób wystarczający gwarantują stronie ochronę swoich interesów w toku postępowania administracyjnego. Zaznaczyć należy, że decyzję administracyjną strona  może zaskarżyć do sądu administracyjnego, który prawomocnie rozstrzygnie, co do legalności podjętej przez organ decyzji.</w:t>
            </w:r>
          </w:p>
        </w:tc>
        <w:tc>
          <w:tcPr>
            <w:tcW w:w="5812" w:type="dxa"/>
            <w:shd w:val="clear" w:color="auto" w:fill="auto"/>
          </w:tcPr>
          <w:p w:rsidR="00A06425" w:rsidRPr="000A131D" w:rsidRDefault="00183B69" w:rsidP="00EB0A70">
            <w:pPr>
              <w:rPr>
                <w:rFonts w:ascii="Lato" w:hAnsi="Lato" w:cstheme="minorHAnsi"/>
                <w:sz w:val="20"/>
                <w:szCs w:val="20"/>
              </w:rPr>
            </w:pPr>
            <w:r w:rsidRPr="000A131D">
              <w:rPr>
                <w:rFonts w:ascii="Lato" w:hAnsi="Lato" w:cstheme="minorHAnsi"/>
                <w:sz w:val="20"/>
                <w:szCs w:val="20"/>
              </w:rPr>
              <w:lastRenderedPageBreak/>
              <w:t xml:space="preserve">Usunąć proponowany zapis art. 96 ust. 1a </w:t>
            </w:r>
            <w:r w:rsidR="00C07449" w:rsidRPr="000A131D">
              <w:rPr>
                <w:rFonts w:ascii="Lato" w:hAnsi="Lato" w:cstheme="minorHAnsi"/>
                <w:sz w:val="20"/>
                <w:szCs w:val="20"/>
              </w:rPr>
              <w:t xml:space="preserve">i 1b </w:t>
            </w:r>
            <w:r w:rsidRPr="000A131D">
              <w:rPr>
                <w:rFonts w:ascii="Lato" w:hAnsi="Lato" w:cstheme="minorHAnsi"/>
                <w:sz w:val="20"/>
                <w:szCs w:val="20"/>
              </w:rPr>
              <w:t xml:space="preserve">ustawy </w:t>
            </w:r>
            <w:r w:rsidR="00C07449" w:rsidRPr="000A131D">
              <w:rPr>
                <w:rFonts w:ascii="Lato" w:hAnsi="Lato" w:cstheme="minorHAnsi"/>
                <w:sz w:val="20"/>
                <w:szCs w:val="20"/>
              </w:rPr>
              <w:t>K.p.a.</w:t>
            </w:r>
          </w:p>
        </w:tc>
        <w:tc>
          <w:tcPr>
            <w:tcW w:w="1359" w:type="dxa"/>
          </w:tcPr>
          <w:p w:rsidR="00A06425" w:rsidRPr="000A131D" w:rsidRDefault="00A06425" w:rsidP="004D086F">
            <w:pPr>
              <w:jc w:val="center"/>
              <w:rPr>
                <w:rFonts w:ascii="Lato" w:hAnsi="Lato" w:cstheme="minorHAnsi"/>
                <w:sz w:val="20"/>
                <w:szCs w:val="20"/>
              </w:rPr>
            </w:pPr>
            <w:bookmarkStart w:id="0" w:name="_GoBack"/>
            <w:bookmarkEnd w:id="0"/>
          </w:p>
        </w:tc>
      </w:tr>
      <w:tr w:rsidR="00A16697" w:rsidRPr="000A131D" w:rsidTr="003F6982">
        <w:trPr>
          <w:trHeight w:val="2684"/>
        </w:trPr>
        <w:tc>
          <w:tcPr>
            <w:tcW w:w="562" w:type="dxa"/>
            <w:shd w:val="clear" w:color="auto" w:fill="auto"/>
          </w:tcPr>
          <w:p w:rsidR="00A16697" w:rsidRPr="000A131D" w:rsidRDefault="00A16697" w:rsidP="00A06425">
            <w:pPr>
              <w:spacing w:before="120" w:after="120"/>
              <w:jc w:val="center"/>
              <w:rPr>
                <w:rFonts w:ascii="Lato" w:hAnsi="Lato" w:cstheme="minorHAnsi"/>
                <w:b/>
                <w:sz w:val="20"/>
                <w:szCs w:val="20"/>
              </w:rPr>
            </w:pPr>
            <w:r w:rsidRPr="000A131D">
              <w:rPr>
                <w:rFonts w:ascii="Lato" w:hAnsi="Lato" w:cstheme="minorHAnsi"/>
                <w:b/>
                <w:sz w:val="20"/>
                <w:szCs w:val="20"/>
              </w:rPr>
              <w:lastRenderedPageBreak/>
              <w:t>2</w:t>
            </w:r>
          </w:p>
        </w:tc>
        <w:tc>
          <w:tcPr>
            <w:tcW w:w="1134" w:type="dxa"/>
            <w:shd w:val="clear" w:color="auto" w:fill="auto"/>
          </w:tcPr>
          <w:p w:rsidR="00A16697" w:rsidRPr="000A131D" w:rsidRDefault="00A16697" w:rsidP="004D086F">
            <w:pPr>
              <w:spacing w:before="60" w:after="60"/>
              <w:jc w:val="center"/>
              <w:rPr>
                <w:rFonts w:ascii="Lato" w:hAnsi="Lato" w:cstheme="minorHAnsi"/>
                <w:b/>
                <w:sz w:val="20"/>
                <w:szCs w:val="20"/>
              </w:rPr>
            </w:pPr>
            <w:r w:rsidRPr="000A131D">
              <w:rPr>
                <w:rFonts w:ascii="Lato" w:hAnsi="Lato" w:cstheme="minorHAnsi"/>
                <w:b/>
                <w:sz w:val="20"/>
                <w:szCs w:val="20"/>
              </w:rPr>
              <w:t>MSWiA</w:t>
            </w:r>
          </w:p>
        </w:tc>
        <w:tc>
          <w:tcPr>
            <w:tcW w:w="1843" w:type="dxa"/>
            <w:shd w:val="clear" w:color="auto" w:fill="auto"/>
          </w:tcPr>
          <w:p w:rsidR="00A16697" w:rsidRPr="000A131D" w:rsidRDefault="00A16697" w:rsidP="007C3E31">
            <w:pPr>
              <w:jc w:val="center"/>
              <w:rPr>
                <w:rFonts w:ascii="Lato" w:hAnsi="Lato" w:cstheme="minorHAnsi"/>
                <w:sz w:val="20"/>
                <w:szCs w:val="20"/>
              </w:rPr>
            </w:pPr>
            <w:r w:rsidRPr="000A131D">
              <w:rPr>
                <w:rFonts w:ascii="Lato" w:hAnsi="Lato" w:cstheme="minorHAnsi"/>
                <w:sz w:val="20"/>
                <w:szCs w:val="20"/>
              </w:rPr>
              <w:t xml:space="preserve">Art. 2 pkt 1 projektu ustawy </w:t>
            </w:r>
          </w:p>
          <w:p w:rsidR="00A16697" w:rsidRPr="000A131D" w:rsidRDefault="00A16697" w:rsidP="007C3E31">
            <w:pPr>
              <w:jc w:val="center"/>
              <w:rPr>
                <w:rFonts w:ascii="Lato" w:hAnsi="Lato" w:cstheme="minorHAnsi"/>
                <w:sz w:val="20"/>
                <w:szCs w:val="20"/>
              </w:rPr>
            </w:pPr>
          </w:p>
          <w:p w:rsidR="00A16697" w:rsidRPr="000A131D" w:rsidRDefault="00A16697" w:rsidP="00A16697">
            <w:pPr>
              <w:jc w:val="center"/>
              <w:rPr>
                <w:rFonts w:ascii="Lato" w:hAnsi="Lato"/>
                <w:sz w:val="20"/>
                <w:szCs w:val="20"/>
              </w:rPr>
            </w:pPr>
            <w:r w:rsidRPr="000A131D">
              <w:rPr>
                <w:rFonts w:ascii="Lato" w:hAnsi="Lato" w:cstheme="minorHAnsi"/>
                <w:sz w:val="20"/>
                <w:szCs w:val="20"/>
              </w:rPr>
              <w:t xml:space="preserve">dot. zmiany </w:t>
            </w:r>
            <w:r w:rsidR="009C0D3D">
              <w:rPr>
                <w:rFonts w:ascii="Lato" w:hAnsi="Lato"/>
                <w:sz w:val="20"/>
                <w:szCs w:val="20"/>
              </w:rPr>
              <w:t>a</w:t>
            </w:r>
            <w:r w:rsidRPr="000A131D">
              <w:rPr>
                <w:rFonts w:ascii="Lato" w:hAnsi="Lato"/>
                <w:sz w:val="20"/>
                <w:szCs w:val="20"/>
              </w:rPr>
              <w:t>rt. 709</w:t>
            </w:r>
            <w:r w:rsidRPr="000A131D">
              <w:rPr>
                <w:rStyle w:val="IGindeksgrny"/>
                <w:rFonts w:ascii="Lato" w:hAnsi="Lato"/>
                <w:sz w:val="20"/>
                <w:szCs w:val="20"/>
              </w:rPr>
              <w:t xml:space="preserve">2  </w:t>
            </w:r>
            <w:r w:rsidRPr="000A131D">
              <w:rPr>
                <w:rStyle w:val="IGindeksgrny"/>
                <w:rFonts w:ascii="Lato" w:hAnsi="Lato"/>
                <w:sz w:val="20"/>
                <w:szCs w:val="20"/>
                <w:vertAlign w:val="baseline"/>
              </w:rPr>
              <w:t>KC</w:t>
            </w:r>
          </w:p>
        </w:tc>
        <w:tc>
          <w:tcPr>
            <w:tcW w:w="4678" w:type="dxa"/>
            <w:shd w:val="clear" w:color="auto" w:fill="auto"/>
          </w:tcPr>
          <w:p w:rsidR="00A16697" w:rsidRPr="000A131D" w:rsidRDefault="000A131D" w:rsidP="000A131D">
            <w:pPr>
              <w:autoSpaceDE w:val="0"/>
              <w:autoSpaceDN w:val="0"/>
              <w:adjustRightInd w:val="0"/>
              <w:spacing w:after="160" w:line="259" w:lineRule="auto"/>
              <w:jc w:val="both"/>
              <w:rPr>
                <w:rStyle w:val="Bodytext1"/>
                <w:rFonts w:ascii="Lato" w:hAnsi="Lato"/>
                <w:sz w:val="20"/>
                <w:szCs w:val="20"/>
              </w:rPr>
            </w:pPr>
            <w:r w:rsidRPr="000A131D">
              <w:rPr>
                <w:rFonts w:ascii="Lato" w:eastAsia="Aptos" w:hAnsi="Lato" w:cs="TimesNewRomanPSMT"/>
                <w:kern w:val="2"/>
                <w:sz w:val="20"/>
                <w:szCs w:val="20"/>
                <w:lang w:eastAsia="en-US"/>
                <w14:ligatures w14:val="standardContextual"/>
              </w:rPr>
              <w:t xml:space="preserve">W projekcie przewidziano </w:t>
            </w:r>
            <w:r w:rsidRPr="000A131D">
              <w:rPr>
                <w:rStyle w:val="Bodytext1"/>
                <w:rFonts w:ascii="Lato" w:hAnsi="Lato"/>
                <w:sz w:val="20"/>
                <w:szCs w:val="20"/>
              </w:rPr>
              <w:t xml:space="preserve">zmianę przepisu </w:t>
            </w:r>
            <w:r w:rsidRPr="000A131D">
              <w:rPr>
                <w:rStyle w:val="Bodytext1"/>
                <w:rFonts w:ascii="Lato" w:hAnsi="Lato"/>
                <w:sz w:val="20"/>
                <w:szCs w:val="20"/>
                <w:lang w:val="en-US" w:eastAsia="en-US" w:bidi="en-US"/>
              </w:rPr>
              <w:t xml:space="preserve">art. </w:t>
            </w:r>
            <w:r w:rsidRPr="000A131D">
              <w:rPr>
                <w:rFonts w:ascii="Lato" w:hAnsi="Lato"/>
                <w:sz w:val="20"/>
                <w:szCs w:val="20"/>
              </w:rPr>
              <w:t>709</w:t>
            </w:r>
            <w:r w:rsidRPr="000A131D">
              <w:rPr>
                <w:rStyle w:val="IGindeksgrny"/>
                <w:rFonts w:ascii="Lato" w:hAnsi="Lato"/>
                <w:sz w:val="20"/>
                <w:szCs w:val="20"/>
              </w:rPr>
              <w:t>2</w:t>
            </w:r>
            <w:r w:rsidRPr="000A131D">
              <w:rPr>
                <w:rStyle w:val="Bodytext1"/>
                <w:rFonts w:ascii="Lato" w:hAnsi="Lato"/>
                <w:sz w:val="20"/>
                <w:szCs w:val="20"/>
              </w:rPr>
              <w:t xml:space="preserve"> Kodeksu cywilnego poprzez zastąpienie, wymaganej </w:t>
            </w:r>
            <w:r w:rsidR="007034CB">
              <w:rPr>
                <w:rStyle w:val="Bodytext1"/>
                <w:rFonts w:ascii="Lato" w:hAnsi="Lato"/>
                <w:sz w:val="20"/>
                <w:szCs w:val="20"/>
              </w:rPr>
              <w:t xml:space="preserve">obecnie </w:t>
            </w:r>
            <w:r w:rsidRPr="000A131D">
              <w:rPr>
                <w:rStyle w:val="Bodytext1"/>
                <w:rFonts w:ascii="Lato" w:hAnsi="Lato"/>
                <w:sz w:val="20"/>
                <w:szCs w:val="20"/>
              </w:rPr>
              <w:t xml:space="preserve">formy pisemnej umowy leasingowej </w:t>
            </w:r>
            <w:r>
              <w:rPr>
                <w:rStyle w:val="Bodytext1"/>
                <w:rFonts w:ascii="Lato" w:hAnsi="Lato"/>
                <w:sz w:val="20"/>
                <w:szCs w:val="20"/>
              </w:rPr>
              <w:t>–</w:t>
            </w:r>
            <w:r w:rsidRPr="000A131D">
              <w:rPr>
                <w:rStyle w:val="Bodytext1"/>
                <w:rFonts w:ascii="Lato" w:hAnsi="Lato"/>
                <w:sz w:val="20"/>
                <w:szCs w:val="20"/>
              </w:rPr>
              <w:t xml:space="preserve"> </w:t>
            </w:r>
            <w:r>
              <w:rPr>
                <w:rStyle w:val="Bodytext1"/>
                <w:rFonts w:ascii="Lato" w:hAnsi="Lato"/>
                <w:sz w:val="20"/>
                <w:szCs w:val="20"/>
              </w:rPr>
              <w:t xml:space="preserve">wyłącznie </w:t>
            </w:r>
            <w:r w:rsidRPr="000A131D">
              <w:rPr>
                <w:rStyle w:val="Bodytext1"/>
                <w:rFonts w:ascii="Lato" w:hAnsi="Lato"/>
                <w:sz w:val="20"/>
                <w:szCs w:val="20"/>
              </w:rPr>
              <w:t xml:space="preserve">formą dokumentową. </w:t>
            </w:r>
            <w:r w:rsidR="007034CB">
              <w:rPr>
                <w:rStyle w:val="Bodytext1"/>
                <w:rFonts w:ascii="Lato" w:hAnsi="Lato"/>
                <w:sz w:val="20"/>
                <w:szCs w:val="20"/>
              </w:rPr>
              <w:t xml:space="preserve">                  </w:t>
            </w:r>
            <w:r w:rsidRPr="000A131D">
              <w:rPr>
                <w:rStyle w:val="Bodytext1"/>
                <w:rFonts w:ascii="Lato" w:hAnsi="Lato"/>
                <w:sz w:val="20"/>
                <w:szCs w:val="20"/>
              </w:rPr>
              <w:t xml:space="preserve">W ocenie MSWiA zmiana ta jest zbyt daleko idąca. Wystarczającą zmianą, z punktu widzenia wskazanego, w uzasadnieniu projektu ustawy, usprawnienia i przyspieszenia zawierania tego typu umów, jest wprowadzenie </w:t>
            </w:r>
            <w:r w:rsidR="009232D6">
              <w:rPr>
                <w:rStyle w:val="Bodytext1"/>
                <w:rFonts w:ascii="Lato" w:hAnsi="Lato"/>
                <w:sz w:val="20"/>
                <w:szCs w:val="20"/>
              </w:rPr>
              <w:t xml:space="preserve">obok formy pisemnej dodatkowej </w:t>
            </w:r>
            <w:r w:rsidRPr="000A131D">
              <w:rPr>
                <w:rStyle w:val="Bodytext1"/>
                <w:rFonts w:ascii="Lato" w:hAnsi="Lato"/>
                <w:sz w:val="20"/>
                <w:szCs w:val="20"/>
              </w:rPr>
              <w:t>formy elektronicznej</w:t>
            </w:r>
            <w:r w:rsidR="009232D6">
              <w:rPr>
                <w:rStyle w:val="Bodytext1"/>
                <w:rFonts w:ascii="Lato" w:hAnsi="Lato"/>
                <w:sz w:val="20"/>
                <w:szCs w:val="20"/>
              </w:rPr>
              <w:t xml:space="preserve"> zawarcia umowy</w:t>
            </w:r>
            <w:r w:rsidRPr="000A131D">
              <w:rPr>
                <w:rStyle w:val="Bodytext1"/>
                <w:rFonts w:ascii="Lato" w:hAnsi="Lato"/>
                <w:sz w:val="20"/>
                <w:szCs w:val="20"/>
              </w:rPr>
              <w:t>. Forma elektroniczna umożliwi zawieranie tego typu umów na odległość</w:t>
            </w:r>
            <w:r>
              <w:rPr>
                <w:rStyle w:val="Bodytext1"/>
                <w:rFonts w:ascii="Lato" w:hAnsi="Lato"/>
                <w:sz w:val="20"/>
                <w:szCs w:val="20"/>
              </w:rPr>
              <w:t xml:space="preserve">  </w:t>
            </w:r>
            <w:r w:rsidRPr="000A131D">
              <w:rPr>
                <w:rStyle w:val="Bodytext1"/>
                <w:rFonts w:ascii="Lato" w:hAnsi="Lato"/>
                <w:sz w:val="20"/>
                <w:szCs w:val="20"/>
              </w:rPr>
              <w:t xml:space="preserve"> i niezwłocznie, więc nie będzie generować opóźnień w tym względzie. Pod względem szybkości i sprawności w zakresie zawierania umowy nie ma zasadniczych różnic </w:t>
            </w:r>
            <w:r w:rsidRPr="000A131D">
              <w:rPr>
                <w:rStyle w:val="Bodytext1"/>
                <w:rFonts w:ascii="Lato" w:hAnsi="Lato"/>
                <w:sz w:val="20"/>
                <w:szCs w:val="20"/>
              </w:rPr>
              <w:lastRenderedPageBreak/>
              <w:t>pomiędzy formą dokumentową a elektroniczną. Istnieje zaś zasadnicza różnica pomiędzy rzeczonymi formami pod względem bezpieczeństwa obrotu prawnego - forma elektroniczna zapewnia bowiem bezpieczeństwo wynikające z zastosowania kwalifikowanych podpisów elektronicznych, dających wymaganą pewność co do faktu złożenia oświadczeń woli przez właściwe strony umowy.</w:t>
            </w:r>
          </w:p>
          <w:p w:rsidR="000A131D" w:rsidRPr="009232D6" w:rsidRDefault="000A131D" w:rsidP="009232D6">
            <w:pPr>
              <w:pStyle w:val="Bodytext10"/>
              <w:spacing w:line="240" w:lineRule="auto"/>
              <w:ind w:firstLine="0"/>
              <w:jc w:val="both"/>
              <w:rPr>
                <w:rStyle w:val="Bodytext1"/>
                <w:rFonts w:ascii="Lato" w:hAnsi="Lato"/>
                <w:sz w:val="20"/>
                <w:szCs w:val="20"/>
              </w:rPr>
            </w:pPr>
            <w:r w:rsidRPr="009232D6">
              <w:rPr>
                <w:rStyle w:val="Bodytext1"/>
                <w:rFonts w:ascii="Lato" w:hAnsi="Lato"/>
                <w:sz w:val="20"/>
                <w:szCs w:val="20"/>
              </w:rPr>
              <w:t>Zgodnie z art</w:t>
            </w:r>
            <w:r w:rsidRPr="00EB0A70">
              <w:rPr>
                <w:rFonts w:eastAsia="Times New Roman" w:cs="Times New Roman"/>
              </w:rPr>
              <w:t>.</w:t>
            </w:r>
            <w:r w:rsidR="009232D6" w:rsidRPr="000A131D">
              <w:rPr>
                <w:rFonts w:ascii="Lato" w:hAnsi="Lato"/>
                <w:sz w:val="20"/>
                <w:szCs w:val="20"/>
              </w:rPr>
              <w:t xml:space="preserve"> </w:t>
            </w:r>
            <w:r w:rsidR="009232D6">
              <w:rPr>
                <w:rFonts w:ascii="Lato" w:hAnsi="Lato"/>
                <w:sz w:val="20"/>
                <w:szCs w:val="20"/>
              </w:rPr>
              <w:t>77</w:t>
            </w:r>
            <w:r w:rsidR="009232D6" w:rsidRPr="000A131D">
              <w:rPr>
                <w:rStyle w:val="IGindeksgrny"/>
                <w:rFonts w:ascii="Lato" w:hAnsi="Lato"/>
                <w:sz w:val="20"/>
                <w:szCs w:val="20"/>
              </w:rPr>
              <w:t>2</w:t>
            </w:r>
            <w:r w:rsidRPr="00EB0A70">
              <w:rPr>
                <w:rFonts w:eastAsia="Times New Roman" w:cs="Times New Roman"/>
              </w:rPr>
              <w:t xml:space="preserve"> </w:t>
            </w:r>
            <w:r w:rsidRPr="009232D6">
              <w:rPr>
                <w:rStyle w:val="Bodytext1"/>
                <w:rFonts w:ascii="Lato" w:hAnsi="Lato"/>
                <w:sz w:val="20"/>
                <w:szCs w:val="20"/>
              </w:rPr>
              <w:t>Kodeksu cywilnego w przypadku formy dokumentowej dokument nie musi być zabezpieczony przed możliwością jego modyfikowania, nie musi zawierać znaków języka pisanego, nie musi zawierać podpisu. W praktyce, w przypadku formy dokumentowej, ze względu na brak wymogu zawarcia, w treści dokumentu, podpisu istotnym problemem może być udowodnienie pochodzenia dokumentu od konkretnej osoby, co jest konstytutywnym elementem zachowania formy dokumentowej, a także jego integralności, gdyż potencjalnie może on podlegać dalszym modyfikacjom po jego sporządzeniu.</w:t>
            </w:r>
          </w:p>
          <w:p w:rsidR="000A131D" w:rsidRPr="00EB0A70" w:rsidRDefault="000A131D" w:rsidP="009232D6">
            <w:pPr>
              <w:pStyle w:val="Bodytext10"/>
              <w:spacing w:line="240" w:lineRule="auto"/>
              <w:ind w:firstLine="0"/>
              <w:jc w:val="both"/>
              <w:rPr>
                <w:rFonts w:eastAsia="Times New Roman" w:cs="Times New Roman"/>
              </w:rPr>
            </w:pPr>
            <w:r w:rsidRPr="00EB0A70">
              <w:rPr>
                <w:rFonts w:eastAsia="Times New Roman" w:cs="Times New Roman"/>
              </w:rPr>
              <w:t>Natomiast zgodnie z art.</w:t>
            </w:r>
            <w:r w:rsidRPr="00EB0A70">
              <w:rPr>
                <w:rFonts w:ascii="Lato" w:eastAsia="Times New Roman" w:hAnsi="Lato" w:cs="Times New Roman"/>
                <w:sz w:val="20"/>
                <w:szCs w:val="20"/>
              </w:rPr>
              <w:t xml:space="preserve"> </w:t>
            </w:r>
            <w:r w:rsidR="009232D6">
              <w:rPr>
                <w:rFonts w:ascii="Lato" w:hAnsi="Lato"/>
                <w:sz w:val="20"/>
                <w:szCs w:val="20"/>
              </w:rPr>
              <w:t>78</w:t>
            </w:r>
            <w:r w:rsidR="009232D6">
              <w:rPr>
                <w:rStyle w:val="IGindeksgrny"/>
                <w:rFonts w:ascii="Lato" w:hAnsi="Lato"/>
                <w:sz w:val="20"/>
                <w:szCs w:val="20"/>
              </w:rPr>
              <w:t>1</w:t>
            </w:r>
            <w:r w:rsidRPr="00EB0A70">
              <w:rPr>
                <w:rFonts w:eastAsia="Times New Roman" w:cs="Times New Roman"/>
              </w:rPr>
              <w:t xml:space="preserve">  </w:t>
            </w:r>
            <w:r w:rsidRPr="009232D6">
              <w:rPr>
                <w:rStyle w:val="Bodytext1"/>
                <w:rFonts w:ascii="Lato" w:hAnsi="Lato"/>
                <w:sz w:val="20"/>
                <w:szCs w:val="20"/>
              </w:rPr>
              <w:t xml:space="preserve">Kodeksu cywilnego stosowany, w ramach formy elektronicznej, kwalifikowany podpis elektroniczny charakteryzuje się unikalnością i niepowtarzalnością, niemożliwością podrobienia, łatwością wygenerowania i weryfikacji, jak również pozwala na pewne ustalenie tożsamości sygnatariusza oraz zapewnia integralność opatrzonego nim oświadczenia woli. Powyższe cechy gwarantują wysoki stopień bezpieczeństwa                          </w:t>
            </w:r>
            <w:r w:rsidR="00EB0A70" w:rsidRPr="009232D6">
              <w:rPr>
                <w:rStyle w:val="Bodytext1"/>
                <w:rFonts w:ascii="Lato" w:hAnsi="Lato"/>
                <w:sz w:val="20"/>
                <w:szCs w:val="20"/>
              </w:rPr>
              <w:t xml:space="preserve">                        </w:t>
            </w:r>
            <w:r w:rsidRPr="009232D6">
              <w:rPr>
                <w:rStyle w:val="Bodytext1"/>
                <w:rFonts w:ascii="Lato" w:hAnsi="Lato"/>
                <w:sz w:val="20"/>
                <w:szCs w:val="20"/>
              </w:rPr>
              <w:t>w odniesieniu do dokonywanej czynności prawnej</w:t>
            </w:r>
            <w:r w:rsidRPr="00EB0A70">
              <w:rPr>
                <w:rFonts w:eastAsia="Times New Roman" w:cs="Times New Roman"/>
              </w:rPr>
              <w:t>.</w:t>
            </w:r>
          </w:p>
          <w:p w:rsidR="00EB0A70" w:rsidRPr="009232D6" w:rsidRDefault="00EB0A70" w:rsidP="009232D6">
            <w:pPr>
              <w:pStyle w:val="Bodytext10"/>
              <w:spacing w:line="240" w:lineRule="auto"/>
              <w:ind w:firstLine="0"/>
              <w:jc w:val="both"/>
              <w:rPr>
                <w:rStyle w:val="Bodytext1"/>
                <w:rFonts w:ascii="Lato" w:hAnsi="Lato"/>
                <w:sz w:val="20"/>
                <w:szCs w:val="20"/>
              </w:rPr>
            </w:pPr>
            <w:r w:rsidRPr="009232D6">
              <w:rPr>
                <w:rStyle w:val="Bodytext1"/>
                <w:rFonts w:ascii="Lato" w:hAnsi="Lato"/>
                <w:sz w:val="20"/>
                <w:szCs w:val="20"/>
              </w:rPr>
              <w:t xml:space="preserve">W przypadku umów leasingu ma to fundamentalne znaczenie z uwagi na wartość inwestycji finansowanych leasingiem. </w:t>
            </w:r>
          </w:p>
          <w:p w:rsidR="000A131D" w:rsidRPr="009232D6" w:rsidRDefault="00EB0A70" w:rsidP="009232D6">
            <w:pPr>
              <w:pStyle w:val="Bodytext10"/>
              <w:spacing w:line="240" w:lineRule="auto"/>
              <w:ind w:firstLine="0"/>
              <w:jc w:val="both"/>
              <w:rPr>
                <w:rStyle w:val="Bodytext1"/>
                <w:rFonts w:ascii="Lato" w:hAnsi="Lato"/>
                <w:sz w:val="20"/>
                <w:szCs w:val="20"/>
              </w:rPr>
            </w:pPr>
            <w:r w:rsidRPr="009232D6">
              <w:rPr>
                <w:rStyle w:val="Bodytext1"/>
                <w:rFonts w:ascii="Lato" w:hAnsi="Lato"/>
                <w:sz w:val="20"/>
                <w:szCs w:val="20"/>
              </w:rPr>
              <w:t xml:space="preserve">Tym samym zmiana formy jednej z wielu rodzajów </w:t>
            </w:r>
            <w:r w:rsidRPr="009232D6">
              <w:rPr>
                <w:rStyle w:val="Bodytext1"/>
                <w:rFonts w:ascii="Lato" w:hAnsi="Lato"/>
                <w:sz w:val="20"/>
                <w:szCs w:val="20"/>
              </w:rPr>
              <w:lastRenderedPageBreak/>
              <w:t>czynności dokonywanych przez</w:t>
            </w:r>
            <w:r w:rsidRPr="009232D6">
              <w:rPr>
                <w:rStyle w:val="Bodytext1"/>
                <w:rFonts w:ascii="Lato" w:hAnsi="Lato"/>
                <w:sz w:val="20"/>
                <w:szCs w:val="20"/>
              </w:rPr>
              <w:br w:type="page"/>
              <w:t xml:space="preserve"> przedsiębiorcę na formę dokumentową może spowodować negatywną konsekwencję w postaci zmniejszenia bezpieczeństwa obrotu w tym obszarze.</w:t>
            </w:r>
          </w:p>
          <w:p w:rsidR="009232D6" w:rsidRPr="00EB0A70" w:rsidRDefault="007034CB" w:rsidP="0020313D">
            <w:pPr>
              <w:pStyle w:val="Bodytext10"/>
              <w:spacing w:line="240" w:lineRule="auto"/>
              <w:ind w:firstLine="0"/>
              <w:jc w:val="both"/>
            </w:pPr>
            <w:r>
              <w:rPr>
                <w:rStyle w:val="Bodytext1"/>
                <w:rFonts w:ascii="Lato" w:hAnsi="Lato"/>
                <w:sz w:val="20"/>
                <w:szCs w:val="20"/>
              </w:rPr>
              <w:t>Dod</w:t>
            </w:r>
            <w:r w:rsidR="0020313D">
              <w:rPr>
                <w:rStyle w:val="Bodytext1"/>
                <w:rFonts w:ascii="Lato" w:hAnsi="Lato"/>
                <w:sz w:val="20"/>
                <w:szCs w:val="20"/>
              </w:rPr>
              <w:t>atkowo</w:t>
            </w:r>
            <w:r w:rsidR="009232D6" w:rsidRPr="009232D6">
              <w:rPr>
                <w:rStyle w:val="Bodytext1"/>
                <w:rFonts w:ascii="Lato" w:hAnsi="Lato"/>
                <w:sz w:val="20"/>
                <w:szCs w:val="20"/>
              </w:rPr>
              <w:t xml:space="preserve"> umożliwienie przedsiębiorcy wyboru formy zawarcia umowy</w:t>
            </w:r>
            <w:r w:rsidR="009232D6">
              <w:rPr>
                <w:rStyle w:val="Bodytext1"/>
                <w:rFonts w:ascii="Lato" w:hAnsi="Lato"/>
                <w:sz w:val="20"/>
                <w:szCs w:val="20"/>
              </w:rPr>
              <w:t xml:space="preserve"> leasingu</w:t>
            </w:r>
            <w:r w:rsidR="009232D6" w:rsidRPr="009232D6">
              <w:rPr>
                <w:rStyle w:val="Bodytext1"/>
                <w:rFonts w:ascii="Lato" w:hAnsi="Lato"/>
                <w:sz w:val="20"/>
                <w:szCs w:val="20"/>
              </w:rPr>
              <w:t xml:space="preserve"> (forma pisemna lub elektroniczna) nie będzie stanowiło ograniczenia swobody zawierania umów.</w:t>
            </w:r>
          </w:p>
        </w:tc>
        <w:tc>
          <w:tcPr>
            <w:tcW w:w="5812" w:type="dxa"/>
            <w:shd w:val="clear" w:color="auto" w:fill="auto"/>
          </w:tcPr>
          <w:p w:rsidR="00A16697" w:rsidRDefault="00EB0A70" w:rsidP="00EB0A70">
            <w:pPr>
              <w:rPr>
                <w:rFonts w:ascii="Lato" w:hAnsi="Lato" w:cstheme="minorHAnsi"/>
                <w:sz w:val="20"/>
                <w:szCs w:val="20"/>
              </w:rPr>
            </w:pPr>
            <w:r>
              <w:rPr>
                <w:rFonts w:ascii="Lato" w:hAnsi="Lato" w:cstheme="minorHAnsi"/>
                <w:sz w:val="20"/>
                <w:szCs w:val="20"/>
              </w:rPr>
              <w:lastRenderedPageBreak/>
              <w:t>Proponuje się nadanie projektowanemu przepisowi brzmienia:</w:t>
            </w:r>
          </w:p>
          <w:p w:rsidR="00EB0A70" w:rsidRDefault="00EB0A70" w:rsidP="00EB0A70">
            <w:pPr>
              <w:rPr>
                <w:rFonts w:ascii="Lato" w:hAnsi="Lato" w:cstheme="minorHAnsi"/>
                <w:sz w:val="20"/>
                <w:szCs w:val="20"/>
              </w:rPr>
            </w:pPr>
          </w:p>
          <w:p w:rsidR="00EB0A70" w:rsidRDefault="00EB0A70" w:rsidP="00EB0A70">
            <w:pPr>
              <w:rPr>
                <w:rFonts w:ascii="Lato" w:hAnsi="Lato" w:cstheme="minorHAnsi"/>
                <w:sz w:val="20"/>
                <w:szCs w:val="20"/>
              </w:rPr>
            </w:pPr>
          </w:p>
          <w:p w:rsidR="00EB0A70" w:rsidRPr="00EB0A70" w:rsidRDefault="00EB0A70" w:rsidP="00EB0A70">
            <w:pPr>
              <w:pStyle w:val="PKTpunkt"/>
              <w:spacing w:line="240" w:lineRule="auto"/>
              <w:rPr>
                <w:rFonts w:asciiTheme="minorHAnsi" w:hAnsiTheme="minorHAnsi" w:cstheme="minorHAnsi"/>
                <w:sz w:val="22"/>
                <w:szCs w:val="22"/>
              </w:rPr>
            </w:pPr>
            <w:r w:rsidRPr="00EB0A70">
              <w:rPr>
                <w:rFonts w:asciiTheme="minorHAnsi" w:hAnsiTheme="minorHAnsi" w:cstheme="minorHAnsi"/>
                <w:sz w:val="22"/>
                <w:szCs w:val="22"/>
              </w:rPr>
              <w:t>„1)</w:t>
            </w:r>
            <w:r w:rsidRPr="00EB0A70">
              <w:rPr>
                <w:rFonts w:asciiTheme="minorHAnsi" w:hAnsiTheme="minorHAnsi" w:cstheme="minorHAnsi"/>
                <w:sz w:val="22"/>
                <w:szCs w:val="22"/>
              </w:rPr>
              <w:tab/>
              <w:t>art. 709</w:t>
            </w:r>
            <w:r w:rsidRPr="00EB0A70">
              <w:rPr>
                <w:rStyle w:val="IGindeksgrny"/>
                <w:rFonts w:asciiTheme="minorHAnsi" w:hAnsiTheme="minorHAnsi" w:cstheme="minorHAnsi"/>
                <w:sz w:val="22"/>
                <w:szCs w:val="22"/>
              </w:rPr>
              <w:t>2</w:t>
            </w:r>
            <w:r w:rsidRPr="00EB0A70">
              <w:rPr>
                <w:rFonts w:asciiTheme="minorHAnsi" w:hAnsiTheme="minorHAnsi" w:cstheme="minorHAnsi"/>
                <w:sz w:val="22"/>
                <w:szCs w:val="22"/>
              </w:rPr>
              <w:t xml:space="preserve"> otrzymuje brzmienie:</w:t>
            </w:r>
          </w:p>
          <w:p w:rsidR="00EB0A70" w:rsidRPr="00EB0A70" w:rsidRDefault="00EB0A70" w:rsidP="00EB0A70">
            <w:pPr>
              <w:pStyle w:val="ZARTzmartartykuempunktem"/>
              <w:spacing w:line="240" w:lineRule="auto"/>
              <w:ind w:left="0" w:firstLine="0"/>
              <w:rPr>
                <w:rFonts w:asciiTheme="minorHAnsi" w:hAnsiTheme="minorHAnsi" w:cstheme="minorHAnsi"/>
                <w:sz w:val="22"/>
                <w:szCs w:val="22"/>
              </w:rPr>
            </w:pPr>
            <w:r w:rsidRPr="00EB0A70">
              <w:rPr>
                <w:rFonts w:asciiTheme="minorHAnsi" w:hAnsiTheme="minorHAnsi" w:cstheme="minorHAnsi"/>
                <w:sz w:val="22"/>
                <w:szCs w:val="22"/>
              </w:rPr>
              <w:t>„Art. 709</w:t>
            </w:r>
            <w:r w:rsidRPr="00EB0A70">
              <w:rPr>
                <w:rStyle w:val="IGindeksgrny"/>
                <w:rFonts w:asciiTheme="minorHAnsi" w:hAnsiTheme="minorHAnsi" w:cstheme="minorHAnsi"/>
                <w:sz w:val="22"/>
                <w:szCs w:val="22"/>
              </w:rPr>
              <w:t>2</w:t>
            </w:r>
            <w:r w:rsidRPr="00EB0A70">
              <w:rPr>
                <w:rFonts w:asciiTheme="minorHAnsi" w:hAnsiTheme="minorHAnsi" w:cstheme="minorHAnsi"/>
                <w:sz w:val="22"/>
                <w:szCs w:val="22"/>
              </w:rPr>
              <w:t xml:space="preserve">. Umowa leasingu powinna być zawarta na piśmie lub w formie elektronicznej pod rygorem nieważności.”; </w:t>
            </w:r>
          </w:p>
          <w:p w:rsidR="00EB0A70" w:rsidRDefault="00EB0A70" w:rsidP="00EB0A70">
            <w:pPr>
              <w:rPr>
                <w:rFonts w:ascii="Lato" w:hAnsi="Lato" w:cstheme="minorHAnsi"/>
                <w:sz w:val="20"/>
                <w:szCs w:val="20"/>
              </w:rPr>
            </w:pPr>
          </w:p>
          <w:p w:rsidR="00EB0A70" w:rsidRPr="000A131D" w:rsidRDefault="00EB0A70" w:rsidP="00EB0A70">
            <w:pPr>
              <w:rPr>
                <w:rFonts w:ascii="Lato" w:hAnsi="Lato" w:cstheme="minorHAnsi"/>
                <w:sz w:val="20"/>
                <w:szCs w:val="20"/>
              </w:rPr>
            </w:pPr>
          </w:p>
        </w:tc>
        <w:tc>
          <w:tcPr>
            <w:tcW w:w="1359" w:type="dxa"/>
          </w:tcPr>
          <w:p w:rsidR="00A16697" w:rsidRPr="000A131D" w:rsidRDefault="00A16697" w:rsidP="004D086F">
            <w:pPr>
              <w:jc w:val="center"/>
              <w:rPr>
                <w:rFonts w:ascii="Lato" w:hAnsi="Lato" w:cstheme="minorHAnsi"/>
                <w:sz w:val="20"/>
                <w:szCs w:val="20"/>
              </w:rPr>
            </w:pPr>
          </w:p>
        </w:tc>
      </w:tr>
      <w:tr w:rsidR="00B358C2" w:rsidRPr="000A131D" w:rsidTr="003F6982">
        <w:trPr>
          <w:trHeight w:val="2684"/>
        </w:trPr>
        <w:tc>
          <w:tcPr>
            <w:tcW w:w="562" w:type="dxa"/>
            <w:shd w:val="clear" w:color="auto" w:fill="auto"/>
          </w:tcPr>
          <w:p w:rsidR="00B358C2" w:rsidRPr="000A131D" w:rsidRDefault="00B358C2" w:rsidP="00A06425">
            <w:pPr>
              <w:spacing w:before="120" w:after="120"/>
              <w:jc w:val="center"/>
              <w:rPr>
                <w:rFonts w:ascii="Lato" w:hAnsi="Lato" w:cstheme="minorHAnsi"/>
                <w:b/>
                <w:sz w:val="20"/>
                <w:szCs w:val="20"/>
              </w:rPr>
            </w:pPr>
            <w:r>
              <w:rPr>
                <w:rFonts w:ascii="Lato" w:hAnsi="Lato" w:cstheme="minorHAnsi"/>
                <w:b/>
                <w:sz w:val="20"/>
                <w:szCs w:val="20"/>
              </w:rPr>
              <w:lastRenderedPageBreak/>
              <w:t>3</w:t>
            </w:r>
          </w:p>
        </w:tc>
        <w:tc>
          <w:tcPr>
            <w:tcW w:w="1134" w:type="dxa"/>
            <w:shd w:val="clear" w:color="auto" w:fill="auto"/>
          </w:tcPr>
          <w:p w:rsidR="00B358C2" w:rsidRPr="000A131D" w:rsidRDefault="00B358C2" w:rsidP="00B358C2">
            <w:pPr>
              <w:spacing w:before="60" w:after="60"/>
              <w:rPr>
                <w:rFonts w:ascii="Lato" w:hAnsi="Lato" w:cstheme="minorHAnsi"/>
                <w:b/>
                <w:sz w:val="20"/>
                <w:szCs w:val="20"/>
              </w:rPr>
            </w:pPr>
            <w:r>
              <w:rPr>
                <w:rFonts w:ascii="Lato" w:hAnsi="Lato" w:cstheme="minorHAnsi"/>
                <w:b/>
                <w:sz w:val="20"/>
                <w:szCs w:val="20"/>
              </w:rPr>
              <w:t>MSWiA</w:t>
            </w:r>
          </w:p>
        </w:tc>
        <w:tc>
          <w:tcPr>
            <w:tcW w:w="1843" w:type="dxa"/>
            <w:shd w:val="clear" w:color="auto" w:fill="auto"/>
          </w:tcPr>
          <w:p w:rsidR="00B358C2" w:rsidRPr="00B358C2" w:rsidRDefault="00B358C2" w:rsidP="007C3E31">
            <w:pPr>
              <w:jc w:val="center"/>
              <w:rPr>
                <w:rFonts w:ascii="Lato" w:hAnsi="Lato"/>
                <w:sz w:val="20"/>
                <w:szCs w:val="20"/>
              </w:rPr>
            </w:pPr>
            <w:r w:rsidRPr="00B358C2">
              <w:rPr>
                <w:rFonts w:ascii="Lato" w:hAnsi="Lato"/>
                <w:sz w:val="20"/>
                <w:szCs w:val="20"/>
              </w:rPr>
              <w:t xml:space="preserve">Art. 18 </w:t>
            </w:r>
          </w:p>
          <w:p w:rsidR="00B358C2" w:rsidRPr="00B358C2" w:rsidRDefault="00B358C2" w:rsidP="007C3E31">
            <w:pPr>
              <w:jc w:val="center"/>
              <w:rPr>
                <w:rFonts w:ascii="Lato" w:hAnsi="Lato"/>
                <w:sz w:val="20"/>
                <w:szCs w:val="20"/>
              </w:rPr>
            </w:pPr>
          </w:p>
          <w:p w:rsidR="00B358C2" w:rsidRPr="00B358C2" w:rsidRDefault="00B358C2" w:rsidP="007C3E31">
            <w:pPr>
              <w:jc w:val="center"/>
              <w:rPr>
                <w:rFonts w:ascii="Lato" w:hAnsi="Lato"/>
                <w:sz w:val="20"/>
                <w:szCs w:val="20"/>
              </w:rPr>
            </w:pPr>
            <w:r w:rsidRPr="00B358C2">
              <w:rPr>
                <w:rFonts w:ascii="Lato" w:hAnsi="Lato"/>
                <w:sz w:val="20"/>
                <w:szCs w:val="20"/>
              </w:rPr>
              <w:t>dot. zmian w ustawie z dnia 30 sierpnia 2002 r. – Prawo o postępowaniu przed sądami administracyjnymi</w:t>
            </w:r>
          </w:p>
        </w:tc>
        <w:tc>
          <w:tcPr>
            <w:tcW w:w="4678" w:type="dxa"/>
            <w:shd w:val="clear" w:color="auto" w:fill="auto"/>
          </w:tcPr>
          <w:p w:rsidR="00B358C2" w:rsidRPr="00B358C2" w:rsidRDefault="00B358C2" w:rsidP="00B358C2">
            <w:pPr>
              <w:jc w:val="both"/>
              <w:rPr>
                <w:rStyle w:val="Bodytext1"/>
                <w:rFonts w:ascii="Lato" w:hAnsi="Lato"/>
                <w:sz w:val="20"/>
                <w:szCs w:val="20"/>
              </w:rPr>
            </w:pPr>
            <w:r w:rsidRPr="00B358C2">
              <w:rPr>
                <w:rStyle w:val="Bodytext1"/>
                <w:rFonts w:ascii="Lato" w:hAnsi="Lato"/>
                <w:sz w:val="20"/>
                <w:szCs w:val="20"/>
              </w:rPr>
              <w:t xml:space="preserve">MSWiA podtrzymuje zgłoszoną </w:t>
            </w:r>
            <w:r>
              <w:rPr>
                <w:rStyle w:val="Bodytext1"/>
                <w:rFonts w:ascii="Lato" w:hAnsi="Lato"/>
                <w:sz w:val="20"/>
                <w:szCs w:val="20"/>
              </w:rPr>
              <w:t xml:space="preserve">na etapie uzgodnień międzyresortowych uwagę w zakresie zmian w przepisach ustawy - </w:t>
            </w:r>
            <w:r w:rsidRPr="00B358C2">
              <w:rPr>
                <w:rFonts w:ascii="Lato" w:hAnsi="Lato"/>
                <w:sz w:val="20"/>
                <w:szCs w:val="20"/>
              </w:rPr>
              <w:t xml:space="preserve">Prawo </w:t>
            </w:r>
            <w:r>
              <w:rPr>
                <w:rFonts w:ascii="Lato" w:hAnsi="Lato"/>
                <w:sz w:val="20"/>
                <w:szCs w:val="20"/>
              </w:rPr>
              <w:t xml:space="preserve">                                         </w:t>
            </w:r>
            <w:r w:rsidRPr="00B358C2">
              <w:rPr>
                <w:rFonts w:ascii="Lato" w:hAnsi="Lato"/>
                <w:sz w:val="20"/>
                <w:szCs w:val="20"/>
              </w:rPr>
              <w:t>o postępowaniu przed sądami administracyjnymi</w:t>
            </w:r>
            <w:r w:rsidRPr="00B358C2">
              <w:rPr>
                <w:rStyle w:val="Bodytext1"/>
                <w:rFonts w:ascii="Lato" w:hAnsi="Lato"/>
                <w:sz w:val="20"/>
                <w:szCs w:val="20"/>
              </w:rPr>
              <w:t xml:space="preserve">. Wyjaśnienie projektodawcy skupia się na zakładanej akceleracji postępowania sądowego, jaka ma nastąpić w wyniku rozszerzenia instytucji sprzeciwu na postanowienia. Projektodawca </w:t>
            </w:r>
            <w:r>
              <w:rPr>
                <w:rStyle w:val="Bodytext1"/>
                <w:rFonts w:ascii="Lato" w:hAnsi="Lato"/>
                <w:sz w:val="20"/>
                <w:szCs w:val="20"/>
              </w:rPr>
              <w:t>pomija jednak kluczową kwestię,</w:t>
            </w:r>
            <w:r w:rsidRPr="00B358C2">
              <w:rPr>
                <w:rStyle w:val="Bodytext1"/>
                <w:rFonts w:ascii="Lato" w:hAnsi="Lato"/>
                <w:sz w:val="20"/>
                <w:szCs w:val="20"/>
              </w:rPr>
              <w:t xml:space="preserve"> tj. to, że zastosowanie art. 138 par. 2 KPA w przypadku uchylenia postanowienia istotnie różni się od uchylenia decyzji administracyjnej. Podstawowa różnica tkwi w tym, że przy decyzjach administracyjnych organ odwoławczy może wydać zarówno orzeczenie </w:t>
            </w:r>
            <w:proofErr w:type="spellStart"/>
            <w:r w:rsidRPr="00B358C2">
              <w:rPr>
                <w:rStyle w:val="Bodytext1"/>
                <w:rFonts w:ascii="Lato" w:hAnsi="Lato"/>
                <w:sz w:val="20"/>
                <w:szCs w:val="20"/>
              </w:rPr>
              <w:t>reformatoryjne</w:t>
            </w:r>
            <w:proofErr w:type="spellEnd"/>
            <w:r w:rsidRPr="00B358C2">
              <w:rPr>
                <w:rStyle w:val="Bodytext1"/>
                <w:rFonts w:ascii="Lato" w:hAnsi="Lato"/>
                <w:sz w:val="20"/>
                <w:szCs w:val="20"/>
              </w:rPr>
              <w:t xml:space="preserve"> jak i kasacyjne. Natomiast w przypadku postanowień często orzeczenie kasacyjne jest jedynym rozwiązaniem, na skutek nieadekwatności orzeczenia </w:t>
            </w:r>
            <w:proofErr w:type="spellStart"/>
            <w:r w:rsidRPr="00B358C2">
              <w:rPr>
                <w:rStyle w:val="Bodytext1"/>
                <w:rFonts w:ascii="Lato" w:hAnsi="Lato"/>
                <w:sz w:val="20"/>
                <w:szCs w:val="20"/>
              </w:rPr>
              <w:t>reformatoryjnego</w:t>
            </w:r>
            <w:proofErr w:type="spellEnd"/>
            <w:r w:rsidRPr="00B358C2">
              <w:rPr>
                <w:rStyle w:val="Bodytext1"/>
                <w:rFonts w:ascii="Lato" w:hAnsi="Lato"/>
                <w:sz w:val="20"/>
                <w:szCs w:val="20"/>
              </w:rPr>
              <w:t xml:space="preserve">. Przykładowo, uchylając postanowienie o odmowie dostępu do akt sprawy, nie można wydać postanowienia o dostępie do akt sprawy, gdyż udostępnienie akt to czynność faktyczna (wyłącznie postanowienie w oparciu </w:t>
            </w:r>
            <w:r w:rsidR="007034CB">
              <w:rPr>
                <w:rStyle w:val="Bodytext1"/>
                <w:rFonts w:ascii="Lato" w:hAnsi="Lato"/>
                <w:sz w:val="20"/>
                <w:szCs w:val="20"/>
              </w:rPr>
              <w:t xml:space="preserve">                   </w:t>
            </w:r>
            <w:r w:rsidRPr="00B358C2">
              <w:rPr>
                <w:rStyle w:val="Bodytext1"/>
                <w:rFonts w:ascii="Lato" w:hAnsi="Lato"/>
                <w:sz w:val="20"/>
                <w:szCs w:val="20"/>
              </w:rPr>
              <w:t xml:space="preserve">o art. 138 par. 2). Uchylając postanowienie </w:t>
            </w:r>
            <w:r w:rsidR="007034CB">
              <w:rPr>
                <w:rStyle w:val="Bodytext1"/>
                <w:rFonts w:ascii="Lato" w:hAnsi="Lato"/>
                <w:sz w:val="20"/>
                <w:szCs w:val="20"/>
              </w:rPr>
              <w:t xml:space="preserve">                          </w:t>
            </w:r>
            <w:r w:rsidRPr="00B358C2">
              <w:rPr>
                <w:rStyle w:val="Bodytext1"/>
                <w:rFonts w:ascii="Lato" w:hAnsi="Lato"/>
                <w:sz w:val="20"/>
                <w:szCs w:val="20"/>
              </w:rPr>
              <w:t xml:space="preserve">w sprawie zawieszenia postępowania nie można orzec o prowadzeniu postępowania, a wyłącznie można uchylić to postanowienie 9art. 138 par. 2). W konsekwencji gdy postanowienie uchylające zostaje zaskarżone do sadu administracyjnego, sąd nie bada wyłącznie przesłanek art. 138 par. 2 kpa </w:t>
            </w:r>
            <w:r w:rsidRPr="00B358C2">
              <w:rPr>
                <w:rStyle w:val="Bodytext1"/>
                <w:rFonts w:ascii="Lato" w:hAnsi="Lato"/>
                <w:sz w:val="20"/>
                <w:szCs w:val="20"/>
              </w:rPr>
              <w:lastRenderedPageBreak/>
              <w:t xml:space="preserve">(tak jak przy sprzeciwie od decyzji), lecz ocenia zasadność uchylenia postanowienia (zasadność odmowy dostępu do akt sprawy, zasadność zawieszenia itp.). Projektodawca nie dostrzega, że rozciągnięcie sprzeciwu na postanowienia doprowadzi do sytuacji, w której sąd administracyjny rozpatrujący sprzeciw od postanowienia będzie rozpatrywał sprawę </w:t>
            </w:r>
            <w:r w:rsidR="007034CB">
              <w:rPr>
                <w:rStyle w:val="Bodytext1"/>
                <w:rFonts w:ascii="Lato" w:hAnsi="Lato"/>
                <w:sz w:val="20"/>
                <w:szCs w:val="20"/>
              </w:rPr>
              <w:t xml:space="preserve">                             </w:t>
            </w:r>
            <w:r w:rsidRPr="00B358C2">
              <w:rPr>
                <w:rStyle w:val="Bodytext1"/>
                <w:rFonts w:ascii="Lato" w:hAnsi="Lato"/>
                <w:sz w:val="20"/>
                <w:szCs w:val="20"/>
              </w:rPr>
              <w:t>w znacznie szerszym zakresie (tak jak dzisiaj, gdy wnosi się skargę).  </w:t>
            </w:r>
          </w:p>
          <w:p w:rsidR="00B358C2" w:rsidRDefault="00B358C2" w:rsidP="00B358C2">
            <w:pPr>
              <w:jc w:val="both"/>
              <w:rPr>
                <w:color w:val="1F497D"/>
              </w:rPr>
            </w:pPr>
          </w:p>
          <w:p w:rsidR="00B358C2" w:rsidRPr="000A131D" w:rsidRDefault="00B358C2" w:rsidP="000A131D">
            <w:pPr>
              <w:autoSpaceDE w:val="0"/>
              <w:autoSpaceDN w:val="0"/>
              <w:adjustRightInd w:val="0"/>
              <w:spacing w:after="160" w:line="259" w:lineRule="auto"/>
              <w:jc w:val="both"/>
              <w:rPr>
                <w:rFonts w:ascii="Lato" w:eastAsia="Aptos" w:hAnsi="Lato" w:cs="TimesNewRomanPSMT"/>
                <w:kern w:val="2"/>
                <w:sz w:val="20"/>
                <w:szCs w:val="20"/>
                <w:lang w:eastAsia="en-US"/>
                <w14:ligatures w14:val="standardContextual"/>
              </w:rPr>
            </w:pPr>
          </w:p>
        </w:tc>
        <w:tc>
          <w:tcPr>
            <w:tcW w:w="5812" w:type="dxa"/>
            <w:shd w:val="clear" w:color="auto" w:fill="auto"/>
          </w:tcPr>
          <w:p w:rsidR="00B358C2" w:rsidRDefault="00B358C2" w:rsidP="00EB0A70">
            <w:pPr>
              <w:rPr>
                <w:rFonts w:ascii="Lato" w:hAnsi="Lato" w:cstheme="minorHAnsi"/>
                <w:sz w:val="20"/>
                <w:szCs w:val="20"/>
              </w:rPr>
            </w:pPr>
          </w:p>
        </w:tc>
        <w:tc>
          <w:tcPr>
            <w:tcW w:w="1359" w:type="dxa"/>
          </w:tcPr>
          <w:p w:rsidR="00B358C2" w:rsidRPr="000A131D" w:rsidRDefault="00B358C2" w:rsidP="004D086F">
            <w:pPr>
              <w:jc w:val="center"/>
              <w:rPr>
                <w:rFonts w:ascii="Lato" w:hAnsi="Lato" w:cstheme="minorHAnsi"/>
                <w:sz w:val="20"/>
                <w:szCs w:val="20"/>
              </w:rPr>
            </w:pPr>
          </w:p>
        </w:tc>
      </w:tr>
      <w:tr w:rsidR="00DC29C2" w:rsidRPr="000A131D" w:rsidTr="003F6982">
        <w:trPr>
          <w:trHeight w:val="2684"/>
        </w:trPr>
        <w:tc>
          <w:tcPr>
            <w:tcW w:w="562" w:type="dxa"/>
            <w:shd w:val="clear" w:color="auto" w:fill="auto"/>
          </w:tcPr>
          <w:p w:rsidR="00DC29C2" w:rsidRPr="000A131D" w:rsidRDefault="00B358C2" w:rsidP="00DC29C2">
            <w:pPr>
              <w:spacing w:before="120" w:after="120"/>
              <w:jc w:val="center"/>
              <w:rPr>
                <w:rFonts w:ascii="Lato" w:hAnsi="Lato" w:cstheme="minorHAnsi"/>
                <w:b/>
                <w:sz w:val="20"/>
                <w:szCs w:val="20"/>
              </w:rPr>
            </w:pPr>
            <w:r>
              <w:rPr>
                <w:rFonts w:ascii="Lato" w:hAnsi="Lato" w:cstheme="minorHAnsi"/>
                <w:b/>
                <w:sz w:val="20"/>
                <w:szCs w:val="20"/>
              </w:rPr>
              <w:t>4</w:t>
            </w:r>
          </w:p>
        </w:tc>
        <w:tc>
          <w:tcPr>
            <w:tcW w:w="1134" w:type="dxa"/>
            <w:shd w:val="clear" w:color="auto" w:fill="auto"/>
          </w:tcPr>
          <w:p w:rsidR="00DC29C2" w:rsidRPr="000A131D" w:rsidRDefault="00DC29C2" w:rsidP="00DC29C2">
            <w:pPr>
              <w:spacing w:before="60" w:after="60"/>
              <w:jc w:val="center"/>
              <w:rPr>
                <w:rFonts w:ascii="Lato" w:hAnsi="Lato" w:cstheme="minorHAnsi"/>
                <w:b/>
                <w:sz w:val="20"/>
                <w:szCs w:val="20"/>
              </w:rPr>
            </w:pPr>
            <w:r w:rsidRPr="000A131D">
              <w:rPr>
                <w:rFonts w:ascii="Lato" w:hAnsi="Lato" w:cstheme="minorHAnsi"/>
                <w:b/>
                <w:sz w:val="20"/>
                <w:szCs w:val="20"/>
              </w:rPr>
              <w:t>MSWiA</w:t>
            </w:r>
          </w:p>
        </w:tc>
        <w:tc>
          <w:tcPr>
            <w:tcW w:w="1843" w:type="dxa"/>
            <w:shd w:val="clear" w:color="auto" w:fill="auto"/>
          </w:tcPr>
          <w:p w:rsidR="00DC29C2" w:rsidRPr="000A131D" w:rsidRDefault="00DC29C2" w:rsidP="00DC29C2">
            <w:pPr>
              <w:jc w:val="center"/>
              <w:rPr>
                <w:rFonts w:ascii="Lato" w:hAnsi="Lato"/>
                <w:sz w:val="20"/>
                <w:szCs w:val="20"/>
              </w:rPr>
            </w:pPr>
            <w:r w:rsidRPr="000A131D">
              <w:rPr>
                <w:rFonts w:ascii="Lato" w:hAnsi="Lato"/>
                <w:sz w:val="20"/>
                <w:szCs w:val="20"/>
              </w:rPr>
              <w:t>Art. 29 pkt 4 projektu ustawy</w:t>
            </w:r>
          </w:p>
          <w:p w:rsidR="00DC29C2" w:rsidRPr="000A131D" w:rsidRDefault="00DC29C2" w:rsidP="00DC29C2">
            <w:pPr>
              <w:jc w:val="center"/>
              <w:rPr>
                <w:rFonts w:ascii="Lato" w:hAnsi="Lato"/>
                <w:sz w:val="20"/>
                <w:szCs w:val="20"/>
              </w:rPr>
            </w:pPr>
          </w:p>
          <w:p w:rsidR="00DC29C2" w:rsidRPr="000A131D" w:rsidRDefault="00DC29C2" w:rsidP="00DC29C2">
            <w:pPr>
              <w:jc w:val="center"/>
              <w:rPr>
                <w:rFonts w:ascii="Lato" w:hAnsi="Lato"/>
                <w:sz w:val="20"/>
                <w:szCs w:val="20"/>
              </w:rPr>
            </w:pPr>
            <w:r w:rsidRPr="000A131D">
              <w:rPr>
                <w:rFonts w:ascii="Lato" w:hAnsi="Lato"/>
                <w:sz w:val="20"/>
                <w:szCs w:val="20"/>
              </w:rPr>
              <w:t xml:space="preserve">dot. art. 47 ust.  1b ustawy </w:t>
            </w:r>
            <w:r w:rsidRPr="000A131D">
              <w:rPr>
                <w:rFonts w:ascii="Lato" w:hAnsi="Lato"/>
                <w:sz w:val="20"/>
                <w:szCs w:val="20"/>
              </w:rPr>
              <w:br/>
              <w:t xml:space="preserve">z dnia 6 marca 2018 ‒ Prawo Przedsiębiorców      </w:t>
            </w:r>
          </w:p>
          <w:p w:rsidR="00DC29C2" w:rsidRPr="000A131D" w:rsidRDefault="00DC29C2" w:rsidP="00DC29C2">
            <w:pPr>
              <w:jc w:val="center"/>
              <w:rPr>
                <w:rFonts w:ascii="Lato" w:hAnsi="Lato" w:cstheme="minorHAnsi"/>
                <w:sz w:val="20"/>
                <w:szCs w:val="20"/>
              </w:rPr>
            </w:pPr>
            <w:r w:rsidRPr="000A131D">
              <w:rPr>
                <w:rFonts w:ascii="Lato" w:hAnsi="Lato"/>
                <w:sz w:val="20"/>
                <w:szCs w:val="20"/>
              </w:rPr>
              <w:t xml:space="preserve">      </w:t>
            </w:r>
          </w:p>
        </w:tc>
        <w:tc>
          <w:tcPr>
            <w:tcW w:w="4678" w:type="dxa"/>
            <w:shd w:val="clear" w:color="auto" w:fill="auto"/>
          </w:tcPr>
          <w:p w:rsidR="00DC29C2" w:rsidRPr="000A131D" w:rsidRDefault="00DC29C2" w:rsidP="00DC29C2">
            <w:pPr>
              <w:spacing w:after="120"/>
              <w:jc w:val="both"/>
              <w:rPr>
                <w:rFonts w:ascii="Lato" w:hAnsi="Lato"/>
                <w:sz w:val="20"/>
                <w:szCs w:val="20"/>
              </w:rPr>
            </w:pPr>
            <w:r w:rsidRPr="000A131D">
              <w:rPr>
                <w:rFonts w:ascii="Lato" w:hAnsi="Lato"/>
                <w:sz w:val="20"/>
                <w:szCs w:val="20"/>
              </w:rPr>
              <w:t xml:space="preserve">Proponowana zmiana dotyczy kontroli wykonywania - wyłączonej ze swobody - działalności gospodarczej,  koncesjonowanej </w:t>
            </w:r>
            <w:r w:rsidR="009232D6">
              <w:rPr>
                <w:rFonts w:ascii="Lato" w:hAnsi="Lato"/>
                <w:sz w:val="20"/>
                <w:szCs w:val="20"/>
              </w:rPr>
              <w:t xml:space="preserve">                        </w:t>
            </w:r>
            <w:r w:rsidRPr="000A131D">
              <w:rPr>
                <w:rFonts w:ascii="Lato" w:hAnsi="Lato"/>
                <w:sz w:val="20"/>
                <w:szCs w:val="20"/>
              </w:rPr>
              <w:t>i regulowanej przez ministra właściwego do spraw wewnętrznych, obejmując obszar w sposób pełny, tzn. uwzględniając wszystkie organy uprawnione do przeprowadzania kontroli w tym zakresie, we wszystkich – wynikających z przywołanych ustaw - trybach.</w:t>
            </w:r>
          </w:p>
          <w:p w:rsidR="00DC29C2" w:rsidRPr="000A131D" w:rsidRDefault="00DC29C2" w:rsidP="00DC29C2">
            <w:pPr>
              <w:spacing w:after="120"/>
              <w:jc w:val="both"/>
              <w:rPr>
                <w:rFonts w:ascii="Lato" w:hAnsi="Lato"/>
                <w:sz w:val="20"/>
                <w:szCs w:val="20"/>
              </w:rPr>
            </w:pPr>
            <w:r w:rsidRPr="000A131D">
              <w:rPr>
                <w:rFonts w:ascii="Lato" w:hAnsi="Lato"/>
                <w:sz w:val="20"/>
                <w:szCs w:val="20"/>
              </w:rPr>
              <w:t>R</w:t>
            </w:r>
            <w:r w:rsidRPr="000A131D">
              <w:rPr>
                <w:rFonts w:ascii="Lato" w:eastAsia="Calibri" w:hAnsi="Lato"/>
                <w:sz w:val="20"/>
                <w:szCs w:val="20"/>
              </w:rPr>
              <w:t xml:space="preserve">eglamentacja - oznaczająca wymóg uzyskania przez przedsiębiorcę na tego rodzaju działalność koncesji, której udziela Minister Spraw Wewnętrznych i Administracji (na działalność </w:t>
            </w:r>
            <w:r w:rsidR="009232D6">
              <w:rPr>
                <w:rFonts w:ascii="Lato" w:eastAsia="Calibri" w:hAnsi="Lato"/>
                <w:sz w:val="20"/>
                <w:szCs w:val="20"/>
              </w:rPr>
              <w:t xml:space="preserve">                       </w:t>
            </w:r>
            <w:r w:rsidRPr="000A131D">
              <w:rPr>
                <w:rFonts w:ascii="Lato" w:eastAsia="Calibri" w:hAnsi="Lato"/>
                <w:sz w:val="20"/>
                <w:szCs w:val="20"/>
              </w:rPr>
              <w:t xml:space="preserve">w zakresie wytwarzania i obrotu materiałami wybuchowymi, bronią, amunicją oraz wyrobami </w:t>
            </w:r>
            <w:r w:rsidR="009232D6">
              <w:rPr>
                <w:rFonts w:ascii="Lato" w:eastAsia="Calibri" w:hAnsi="Lato"/>
                <w:sz w:val="20"/>
                <w:szCs w:val="20"/>
              </w:rPr>
              <w:t xml:space="preserve">                      </w:t>
            </w:r>
            <w:r w:rsidRPr="000A131D">
              <w:rPr>
                <w:rFonts w:ascii="Lato" w:eastAsia="Calibri" w:hAnsi="Lato"/>
                <w:sz w:val="20"/>
                <w:szCs w:val="20"/>
              </w:rPr>
              <w:t>i technologią o przeznaczeniu wojskowym lub policyjnym oraz na działalność w zakresie usług ochrony osób i mienia) lub wpisu do rejestru działalności  regulowanej, prowadzanego przez Ministra Spraw Wewnętrznych i Administracji (na działalność w zakresie usług detektywistycznych) – oparta została o</w:t>
            </w:r>
            <w:r w:rsidRPr="000A131D">
              <w:rPr>
                <w:rFonts w:ascii="Lato" w:hAnsi="Lato"/>
                <w:sz w:val="20"/>
                <w:szCs w:val="20"/>
              </w:rPr>
              <w:t xml:space="preserve"> względy obronności </w:t>
            </w:r>
            <w:r w:rsidR="009232D6">
              <w:rPr>
                <w:rFonts w:ascii="Lato" w:hAnsi="Lato"/>
                <w:sz w:val="20"/>
                <w:szCs w:val="20"/>
              </w:rPr>
              <w:t xml:space="preserve">                                         </w:t>
            </w:r>
            <w:r w:rsidRPr="000A131D">
              <w:rPr>
                <w:rFonts w:ascii="Lato" w:hAnsi="Lato"/>
                <w:sz w:val="20"/>
                <w:szCs w:val="20"/>
              </w:rPr>
              <w:t xml:space="preserve">i bezpieczeństwa państwa, bezpieczeństwa obywateli oraz bezpieczeństwa porządku publicznego, co konsekwentnie powinno zostać utrzymane także w odniesieniu do kontroli, której </w:t>
            </w:r>
            <w:r w:rsidRPr="000A131D">
              <w:rPr>
                <w:rFonts w:ascii="Lato" w:hAnsi="Lato"/>
                <w:sz w:val="20"/>
                <w:szCs w:val="20"/>
              </w:rPr>
              <w:lastRenderedPageBreak/>
              <w:t xml:space="preserve">celem jest zapobieganie stwarzania zagrożenia tych wartości. </w:t>
            </w:r>
          </w:p>
          <w:p w:rsidR="00DC29C2" w:rsidRPr="000A131D" w:rsidRDefault="00DC29C2" w:rsidP="00DC29C2">
            <w:pPr>
              <w:jc w:val="both"/>
              <w:rPr>
                <w:rFonts w:ascii="Lato" w:eastAsia="Calibri" w:hAnsi="Lato"/>
                <w:sz w:val="20"/>
                <w:szCs w:val="20"/>
              </w:rPr>
            </w:pPr>
            <w:r w:rsidRPr="000A131D">
              <w:rPr>
                <w:rFonts w:ascii="Lato" w:eastAsia="Calibri" w:hAnsi="Lato"/>
                <w:sz w:val="20"/>
                <w:szCs w:val="20"/>
              </w:rPr>
              <w:t xml:space="preserve">Przesłanki ww. reglamentacji dotyczą – </w:t>
            </w:r>
            <w:r w:rsidR="009232D6">
              <w:rPr>
                <w:rFonts w:ascii="Lato" w:eastAsia="Calibri" w:hAnsi="Lato"/>
                <w:sz w:val="20"/>
                <w:szCs w:val="20"/>
              </w:rPr>
              <w:t xml:space="preserve">                                     </w:t>
            </w:r>
            <w:r w:rsidRPr="000A131D">
              <w:rPr>
                <w:rFonts w:ascii="Lato" w:eastAsia="Calibri" w:hAnsi="Lato"/>
                <w:sz w:val="20"/>
                <w:szCs w:val="20"/>
              </w:rPr>
              <w:t xml:space="preserve">w odpowiednim stopniu - tak działalności koncesjonowanej jak i regulowanej. W związku </w:t>
            </w:r>
            <w:r w:rsidR="009232D6">
              <w:rPr>
                <w:rFonts w:ascii="Lato" w:eastAsia="Calibri" w:hAnsi="Lato"/>
                <w:sz w:val="20"/>
                <w:szCs w:val="20"/>
              </w:rPr>
              <w:t xml:space="preserve">                     </w:t>
            </w:r>
            <w:r w:rsidRPr="000A131D">
              <w:rPr>
                <w:rFonts w:ascii="Lato" w:eastAsia="Calibri" w:hAnsi="Lato"/>
                <w:sz w:val="20"/>
                <w:szCs w:val="20"/>
              </w:rPr>
              <w:t xml:space="preserve">z tym, zgłoszona propozycja uzupełnia i przez to wypełnia w sposób konsekwentny przyjęte przez projektodawcę uznanie za właściwe wyłączenie </w:t>
            </w:r>
            <w:r w:rsidR="009232D6">
              <w:rPr>
                <w:rFonts w:ascii="Lato" w:eastAsia="Calibri" w:hAnsi="Lato"/>
                <w:sz w:val="20"/>
                <w:szCs w:val="20"/>
              </w:rPr>
              <w:t xml:space="preserve">                       </w:t>
            </w:r>
            <w:r w:rsidRPr="000A131D">
              <w:rPr>
                <w:rFonts w:ascii="Lato" w:eastAsia="Calibri" w:hAnsi="Lato"/>
                <w:sz w:val="20"/>
                <w:szCs w:val="20"/>
              </w:rPr>
              <w:t>z ww. obowiązku publikowania okresowej analizy prawdopodobieństwa naruszenia prawa w ramach wykonywania działalności gospodarczej reglamentowanej.</w:t>
            </w:r>
          </w:p>
          <w:p w:rsidR="00DC29C2" w:rsidRPr="000A131D" w:rsidRDefault="00DC29C2" w:rsidP="00DC29C2">
            <w:pPr>
              <w:jc w:val="both"/>
              <w:rPr>
                <w:rFonts w:ascii="Lato" w:eastAsia="Calibri" w:hAnsi="Lato"/>
                <w:sz w:val="20"/>
                <w:szCs w:val="20"/>
              </w:rPr>
            </w:pPr>
          </w:p>
          <w:p w:rsidR="00DC29C2" w:rsidRPr="000A131D" w:rsidRDefault="009C0D3D" w:rsidP="00DC29C2">
            <w:pPr>
              <w:jc w:val="both"/>
              <w:rPr>
                <w:rFonts w:ascii="Lato" w:eastAsia="Calibri" w:hAnsi="Lato"/>
                <w:sz w:val="20"/>
                <w:szCs w:val="20"/>
              </w:rPr>
            </w:pPr>
            <w:r>
              <w:rPr>
                <w:rFonts w:ascii="Lato" w:eastAsia="Calibri" w:hAnsi="Lato"/>
                <w:sz w:val="20"/>
                <w:szCs w:val="20"/>
              </w:rPr>
              <w:t xml:space="preserve">MSWiA podtrzymuje </w:t>
            </w:r>
            <w:r w:rsidR="00DC29C2" w:rsidRPr="000A131D">
              <w:rPr>
                <w:rFonts w:ascii="Lato" w:eastAsia="Calibri" w:hAnsi="Lato"/>
                <w:sz w:val="20"/>
                <w:szCs w:val="20"/>
              </w:rPr>
              <w:t>również w całości argumentację dotyczącą wpływu proponowanych w projekcie zapisów na bezpieczeństwo obywateli</w:t>
            </w:r>
            <w:r>
              <w:rPr>
                <w:rFonts w:ascii="Lato" w:eastAsia="Calibri" w:hAnsi="Lato"/>
                <w:sz w:val="20"/>
                <w:szCs w:val="20"/>
              </w:rPr>
              <w:t xml:space="preserve">                        </w:t>
            </w:r>
            <w:r w:rsidR="00DC29C2" w:rsidRPr="000A131D">
              <w:rPr>
                <w:rFonts w:ascii="Lato" w:eastAsia="Calibri" w:hAnsi="Lato"/>
                <w:sz w:val="20"/>
                <w:szCs w:val="20"/>
              </w:rPr>
              <w:t xml:space="preserve"> i państwa oraz szczególny charakter działalności reglamentowanej, wnosząc o ponowne pochylenie się nad ww. kwestiami newralgicznymi, które poddajemy pod rozwagę z punktu widzenia ochrony praw i wolności obywateli, a nie jedynie jako organ, prowadzący postępowania administracyjne oraz realizujący kontrole.  </w:t>
            </w:r>
          </w:p>
          <w:p w:rsidR="00DC29C2" w:rsidRPr="000A131D" w:rsidRDefault="00DC29C2" w:rsidP="00DC29C2">
            <w:pPr>
              <w:jc w:val="both"/>
              <w:rPr>
                <w:rFonts w:ascii="Lato" w:eastAsia="Calibri" w:hAnsi="Lato"/>
                <w:sz w:val="20"/>
                <w:szCs w:val="20"/>
              </w:rPr>
            </w:pPr>
          </w:p>
          <w:p w:rsidR="00DC29C2" w:rsidRPr="000A131D" w:rsidRDefault="00DC29C2" w:rsidP="00DC29C2">
            <w:pPr>
              <w:jc w:val="both"/>
              <w:rPr>
                <w:rFonts w:ascii="Lato" w:eastAsia="Calibri" w:hAnsi="Lato"/>
                <w:sz w:val="20"/>
                <w:szCs w:val="20"/>
              </w:rPr>
            </w:pPr>
            <w:r w:rsidRPr="000A131D">
              <w:rPr>
                <w:rFonts w:ascii="Lato" w:eastAsia="Calibri" w:hAnsi="Lato"/>
                <w:sz w:val="20"/>
                <w:szCs w:val="20"/>
              </w:rPr>
              <w:t>Podkreślenia przy tym wymaga, iż umieszczenie</w:t>
            </w:r>
            <w:r w:rsidR="009C0D3D">
              <w:rPr>
                <w:rFonts w:ascii="Lato" w:eastAsia="Calibri" w:hAnsi="Lato"/>
                <w:sz w:val="20"/>
                <w:szCs w:val="20"/>
              </w:rPr>
              <w:t xml:space="preserve">                 </w:t>
            </w:r>
            <w:r w:rsidRPr="000A131D">
              <w:rPr>
                <w:rFonts w:ascii="Lato" w:eastAsia="Calibri" w:hAnsi="Lato"/>
                <w:sz w:val="20"/>
                <w:szCs w:val="20"/>
              </w:rPr>
              <w:t xml:space="preserve"> w Biuletynie Informacji Publicznej (BIP), na stronie podmiotowej urzędu obsługującego organ kontroli, okresowej analizy prawdopodobieństwa naruszenia prawa w ramach wykonywania działalności gospodarczej regulowanej nie przyczyni się do realizacji celów regulacji, wskazanych w uzasadnieniu projektowanej ustawy, lecz będzie stanowić iluzoryczne źródło informacyjne. </w:t>
            </w:r>
          </w:p>
          <w:p w:rsidR="00DC29C2" w:rsidRPr="000A131D" w:rsidRDefault="00DC29C2" w:rsidP="00DC29C2">
            <w:pPr>
              <w:jc w:val="both"/>
              <w:rPr>
                <w:rFonts w:ascii="Lato" w:hAnsi="Lato"/>
                <w:sz w:val="20"/>
                <w:szCs w:val="20"/>
              </w:rPr>
            </w:pPr>
          </w:p>
          <w:p w:rsidR="00DC29C2" w:rsidRPr="000A131D" w:rsidRDefault="00DC29C2" w:rsidP="00DC29C2">
            <w:pPr>
              <w:jc w:val="both"/>
              <w:rPr>
                <w:rFonts w:ascii="Lato" w:eastAsia="Calibri" w:hAnsi="Lato"/>
                <w:sz w:val="20"/>
                <w:szCs w:val="20"/>
              </w:rPr>
            </w:pPr>
            <w:r w:rsidRPr="000A131D">
              <w:rPr>
                <w:rFonts w:ascii="Lato" w:eastAsia="Calibri" w:hAnsi="Lato"/>
                <w:sz w:val="20"/>
                <w:szCs w:val="20"/>
              </w:rPr>
              <w:t xml:space="preserve">Analiza </w:t>
            </w:r>
            <w:proofErr w:type="spellStart"/>
            <w:r w:rsidRPr="000A131D">
              <w:rPr>
                <w:rFonts w:ascii="Lato" w:eastAsia="Calibri" w:hAnsi="Lato"/>
                <w:sz w:val="20"/>
                <w:szCs w:val="20"/>
              </w:rPr>
              <w:t>przedkontrolna</w:t>
            </w:r>
            <w:proofErr w:type="spellEnd"/>
            <w:r w:rsidRPr="000A131D">
              <w:rPr>
                <w:rFonts w:ascii="Lato" w:eastAsia="Calibri" w:hAnsi="Lato"/>
                <w:sz w:val="20"/>
                <w:szCs w:val="20"/>
              </w:rPr>
              <w:t xml:space="preserve"> jest jednym z elementów działalności kontrolnej organów kontroli, opracowanych na wczesnym etapie procesu kontrolnego. Sporządzenie analizy nie ma żadnego </w:t>
            </w:r>
            <w:r w:rsidRPr="000A131D">
              <w:rPr>
                <w:rFonts w:ascii="Lato" w:eastAsia="Calibri" w:hAnsi="Lato"/>
                <w:sz w:val="20"/>
                <w:szCs w:val="20"/>
              </w:rPr>
              <w:lastRenderedPageBreak/>
              <w:t xml:space="preserve">wpływu na wynik kontroli, ponieważ jest on determinowany jej ustaleniami.  </w:t>
            </w:r>
          </w:p>
          <w:p w:rsidR="00DC29C2" w:rsidRPr="000A131D" w:rsidRDefault="00DC29C2" w:rsidP="00DC29C2">
            <w:pPr>
              <w:jc w:val="both"/>
              <w:rPr>
                <w:rFonts w:ascii="Lato" w:eastAsia="Calibri" w:hAnsi="Lato"/>
                <w:sz w:val="20"/>
                <w:szCs w:val="20"/>
              </w:rPr>
            </w:pPr>
          </w:p>
          <w:p w:rsidR="00DC29C2" w:rsidRPr="000A131D" w:rsidRDefault="00DC29C2" w:rsidP="00DC29C2">
            <w:pPr>
              <w:jc w:val="both"/>
              <w:rPr>
                <w:rFonts w:ascii="Lato" w:eastAsia="Calibri" w:hAnsi="Lato"/>
                <w:sz w:val="20"/>
                <w:szCs w:val="20"/>
              </w:rPr>
            </w:pPr>
            <w:r w:rsidRPr="000A131D">
              <w:rPr>
                <w:rFonts w:ascii="Lato" w:eastAsia="Calibri" w:hAnsi="Lato"/>
                <w:sz w:val="20"/>
                <w:szCs w:val="20"/>
              </w:rPr>
              <w:t xml:space="preserve">Wyniki działalności kontrolnej organu opracowywane są po przeprowadzeniu kontroli. Rzetelna i miarodajna informacja o działalności kontrolnej organu możliwa jest do zaprezentowania dopiero po sporządzeniu sprawozdania </w:t>
            </w:r>
            <w:r w:rsidR="009C0D3D">
              <w:rPr>
                <w:rFonts w:ascii="Lato" w:eastAsia="Calibri" w:hAnsi="Lato"/>
                <w:sz w:val="20"/>
                <w:szCs w:val="20"/>
              </w:rPr>
              <w:t xml:space="preserve">                                       </w:t>
            </w:r>
            <w:r w:rsidRPr="000A131D">
              <w:rPr>
                <w:rFonts w:ascii="Lato" w:eastAsia="Calibri" w:hAnsi="Lato"/>
                <w:sz w:val="20"/>
                <w:szCs w:val="20"/>
              </w:rPr>
              <w:t xml:space="preserve">z przeprowadzonych kontroli. W związku powyższym twierdzenie, że </w:t>
            </w:r>
            <w:r w:rsidRPr="000A131D">
              <w:rPr>
                <w:rFonts w:ascii="Lato" w:eastAsia="Calibri" w:hAnsi="Lato"/>
                <w:i/>
                <w:sz w:val="20"/>
                <w:szCs w:val="20"/>
              </w:rPr>
              <w:t xml:space="preserve">Publikacja analiz prawdopodobieństwa naruszenia prawa powinna również ułatwić opinii publicznej, w tym zwłaszcza kontrolowanym, zapoznanie się z wynikami działalności kontrolnej organów kontroli, </w:t>
            </w:r>
            <w:r w:rsidRPr="000A131D">
              <w:rPr>
                <w:rFonts w:ascii="Lato" w:eastAsia="Calibri" w:hAnsi="Lato"/>
                <w:sz w:val="20"/>
                <w:szCs w:val="20"/>
              </w:rPr>
              <w:t>nie jest zasadne.</w:t>
            </w:r>
          </w:p>
          <w:p w:rsidR="007034CB" w:rsidRDefault="007034CB" w:rsidP="003B4F3F">
            <w:pPr>
              <w:jc w:val="both"/>
              <w:rPr>
                <w:rFonts w:ascii="Lato" w:eastAsia="Aptos" w:hAnsi="Lato" w:cs="TimesNewRomanPSMT"/>
                <w:kern w:val="2"/>
                <w:sz w:val="20"/>
                <w:szCs w:val="20"/>
                <w:lang w:eastAsia="en-US"/>
                <w14:ligatures w14:val="standardContextual"/>
              </w:rPr>
            </w:pPr>
          </w:p>
          <w:p w:rsidR="003B4F3F" w:rsidRPr="003B4F3F" w:rsidRDefault="0020313D" w:rsidP="003B4F3F">
            <w:pPr>
              <w:jc w:val="both"/>
              <w:rPr>
                <w:rFonts w:ascii="Lato" w:eastAsia="Calibri" w:hAnsi="Lato"/>
                <w:sz w:val="20"/>
                <w:szCs w:val="20"/>
              </w:rPr>
            </w:pPr>
            <w:r>
              <w:rPr>
                <w:rFonts w:ascii="Lato" w:eastAsia="Calibri" w:hAnsi="Lato"/>
                <w:sz w:val="20"/>
                <w:szCs w:val="20"/>
              </w:rPr>
              <w:t>Dodatkowo wskazać należy, że</w:t>
            </w:r>
            <w:r w:rsidR="003B4F3F" w:rsidRPr="003B4F3F">
              <w:rPr>
                <w:rFonts w:ascii="Lato" w:eastAsia="Calibri" w:hAnsi="Lato"/>
                <w:sz w:val="20"/>
                <w:szCs w:val="20"/>
              </w:rPr>
              <w:t xml:space="preserve"> przedstawione przez wnioskodawcę projektu wyjaśnienie do uwag zgłaszanych na etapie uzgodnień międzyresortowych, wydaje się jednak nie odnosić w pełni do kontroli prowadzonych przez Policję na podstawie przepisów </w:t>
            </w:r>
            <w:r w:rsidR="003B4F3F" w:rsidRPr="007034CB">
              <w:rPr>
                <w:rFonts w:ascii="Lato" w:eastAsia="Calibri" w:hAnsi="Lato"/>
                <w:i/>
                <w:sz w:val="20"/>
                <w:szCs w:val="20"/>
              </w:rPr>
              <w:t>ustawy o ochronie osób                  i mienia.</w:t>
            </w:r>
            <w:r w:rsidR="003B4F3F" w:rsidRPr="003B4F3F">
              <w:rPr>
                <w:rFonts w:ascii="Lato" w:eastAsia="Calibri" w:hAnsi="Lato"/>
                <w:sz w:val="20"/>
                <w:szCs w:val="20"/>
              </w:rPr>
              <w:t xml:space="preserve"> Warto bowiem zauważyć, że kontrole te są prowadzone na podstawie różnych przepisów tej ustawy. Zgodnie z art. 23 ust. 1 </w:t>
            </w:r>
            <w:r w:rsidR="003B4F3F" w:rsidRPr="0020313D">
              <w:rPr>
                <w:rFonts w:ascii="Lato" w:eastAsia="Calibri" w:hAnsi="Lato"/>
                <w:i/>
                <w:sz w:val="20"/>
                <w:szCs w:val="20"/>
              </w:rPr>
              <w:t xml:space="preserve">ustawy                              o ochronie osób i mienia </w:t>
            </w:r>
            <w:r w:rsidR="003B4F3F" w:rsidRPr="003B4F3F">
              <w:rPr>
                <w:rFonts w:ascii="Lato" w:eastAsia="Calibri" w:hAnsi="Lato"/>
                <w:sz w:val="20"/>
                <w:szCs w:val="20"/>
              </w:rPr>
              <w:t xml:space="preserve">minister właściwy do spraw wewnętrznych może upoważnić Komendanta Głównego Policji do kontroli działalności gospodarczej w zakresie usług ochrony osób </w:t>
            </w:r>
            <w:r>
              <w:rPr>
                <w:rFonts w:ascii="Lato" w:eastAsia="Calibri" w:hAnsi="Lato"/>
                <w:sz w:val="20"/>
                <w:szCs w:val="20"/>
              </w:rPr>
              <w:t xml:space="preserve">                            </w:t>
            </w:r>
            <w:r w:rsidR="003B4F3F" w:rsidRPr="003B4F3F">
              <w:rPr>
                <w:rFonts w:ascii="Lato" w:eastAsia="Calibri" w:hAnsi="Lato"/>
                <w:sz w:val="20"/>
                <w:szCs w:val="20"/>
              </w:rPr>
              <w:t>i mienia wymagającej koncesji. Organ koncesyjny może także, na podstawie art. 23b ust. 1 tej ustawy, powołać zespół kontrolny, w skład którego mogą wejść m.in. przedstawiciele Komendanta Głównego Policji. W odniesieniu do kontroli prowadzonej na podstawie tych przepisów nie budzi wątpliwości, że stanowi ona kontrolę działalności gospodarczej podlegającej</w:t>
            </w:r>
            <w:r w:rsidR="003B4F3F">
              <w:rPr>
                <w:rFonts w:ascii="Lato" w:eastAsia="Calibri" w:hAnsi="Lato"/>
                <w:sz w:val="20"/>
                <w:szCs w:val="20"/>
              </w:rPr>
              <w:t xml:space="preserve"> koncesjonowaniu, o której mowa </w:t>
            </w:r>
            <w:r w:rsidR="003B4F3F" w:rsidRPr="003B4F3F">
              <w:rPr>
                <w:rFonts w:ascii="Lato" w:eastAsia="Calibri" w:hAnsi="Lato"/>
                <w:sz w:val="20"/>
                <w:szCs w:val="20"/>
              </w:rPr>
              <w:t xml:space="preserve">w projektowanym art. 47 ust. 1b pkt 1 </w:t>
            </w:r>
            <w:r w:rsidR="003B4F3F" w:rsidRPr="0020313D">
              <w:rPr>
                <w:rFonts w:ascii="Lato" w:eastAsia="Calibri" w:hAnsi="Lato"/>
                <w:i/>
                <w:sz w:val="20"/>
                <w:szCs w:val="20"/>
              </w:rPr>
              <w:t xml:space="preserve">Prawa przedsiębiorców. </w:t>
            </w:r>
            <w:r w:rsidR="003B4F3F" w:rsidRPr="003B4F3F">
              <w:rPr>
                <w:rFonts w:ascii="Lato" w:eastAsia="Calibri" w:hAnsi="Lato"/>
                <w:sz w:val="20"/>
                <w:szCs w:val="20"/>
              </w:rPr>
              <w:t xml:space="preserve">Przemawia za tym również umiejscowienie przywołanych przepisów w rozdziale 4 ustawy o ochronie osób i mienia, </w:t>
            </w:r>
            <w:r w:rsidR="003B4F3F" w:rsidRPr="003B4F3F">
              <w:rPr>
                <w:rFonts w:ascii="Lato" w:eastAsia="Calibri" w:hAnsi="Lato"/>
                <w:sz w:val="20"/>
                <w:szCs w:val="20"/>
              </w:rPr>
              <w:lastRenderedPageBreak/>
              <w:t>zatytułowanym „Zasady prowadzenia działalności gospodarczej w zakresie usług ochrony osób i mienia oraz kontrola tej działalności”.</w:t>
            </w:r>
          </w:p>
          <w:p w:rsidR="003B4F3F" w:rsidRPr="003B4F3F" w:rsidRDefault="003B4F3F" w:rsidP="003B4F3F">
            <w:pPr>
              <w:jc w:val="both"/>
              <w:rPr>
                <w:rFonts w:ascii="Lato" w:eastAsia="Calibri" w:hAnsi="Lato"/>
                <w:sz w:val="20"/>
                <w:szCs w:val="20"/>
              </w:rPr>
            </w:pPr>
            <w:r w:rsidRPr="003B4F3F">
              <w:rPr>
                <w:rFonts w:ascii="Lato" w:eastAsia="Calibri" w:hAnsi="Lato"/>
                <w:sz w:val="20"/>
                <w:szCs w:val="20"/>
              </w:rPr>
              <w:t xml:space="preserve">Jednocześnie, zgodnie z art. 43 ust. 1 i 2 </w:t>
            </w:r>
            <w:r w:rsidRPr="0020313D">
              <w:rPr>
                <w:rFonts w:ascii="Lato" w:eastAsia="Calibri" w:hAnsi="Lato"/>
                <w:i/>
                <w:sz w:val="20"/>
                <w:szCs w:val="20"/>
              </w:rPr>
              <w:t>ustawy o ochronie osób i mienia</w:t>
            </w:r>
            <w:r w:rsidRPr="003B4F3F">
              <w:rPr>
                <w:rFonts w:ascii="Lato" w:eastAsia="Calibri" w:hAnsi="Lato"/>
                <w:sz w:val="20"/>
                <w:szCs w:val="20"/>
              </w:rPr>
              <w:t xml:space="preserve"> Komendant Główny Policji sprawuje nadzór nad działalnością specjalistycznych uzbrojonych formacji ochronnych w zakresie zasad i sposobów realizacji zadań ochrony osób i mienia, sposobów użycia przez pracowników tych formacji środków przymusu bezpośredniego lub broni palnej oraz posiadania przez pracowników ochrony niezbędnych kwalifikacji. Nadzór ten polega m.in. na kontroli organizacji i zasad działania, uzbrojenia, wyposażenia oraz współpracy z innymi formacjami i służbami oraz kontroli zgodności aktualnego stanu ochrony jednostki z planem ochrony. Dodatkowo, tryb wykonywania czynności nadzoru Komendanta Głównego Policji nad działalnością specjalistycznych uzbrojonych formacji ochronnych określają przepisy rozporządzenia Ministra Spraw Wewnętrznych z dnia 27 kwietnia 2012 r. </w:t>
            </w:r>
            <w:r w:rsidR="0020313D">
              <w:rPr>
                <w:rFonts w:ascii="Lato" w:eastAsia="Calibri" w:hAnsi="Lato"/>
                <w:sz w:val="20"/>
                <w:szCs w:val="20"/>
              </w:rPr>
              <w:t xml:space="preserve">                              </w:t>
            </w:r>
            <w:r w:rsidRPr="007034CB">
              <w:rPr>
                <w:rFonts w:ascii="Lato" w:eastAsia="Calibri" w:hAnsi="Lato"/>
                <w:i/>
                <w:sz w:val="20"/>
                <w:szCs w:val="20"/>
              </w:rPr>
              <w:t>w sprawie szczegółowych zasad wydawania upoważnień do kontroli oraz trybu wykonywania czynności nadzoru Komendanta Głównego Policji nad działalnością specjalistycznych uzbrojonych formacji ochronnych</w:t>
            </w:r>
            <w:r w:rsidRPr="003B4F3F">
              <w:rPr>
                <w:rFonts w:ascii="Lato" w:eastAsia="Calibri" w:hAnsi="Lato"/>
                <w:sz w:val="20"/>
                <w:szCs w:val="20"/>
              </w:rPr>
              <w:t xml:space="preserve"> (Dz. U. poz. 557).</w:t>
            </w:r>
          </w:p>
          <w:p w:rsidR="00CE6B63" w:rsidRPr="000A131D" w:rsidRDefault="003B4F3F" w:rsidP="003B4F3F">
            <w:pPr>
              <w:autoSpaceDE w:val="0"/>
              <w:autoSpaceDN w:val="0"/>
              <w:adjustRightInd w:val="0"/>
              <w:spacing w:after="160" w:line="259" w:lineRule="auto"/>
              <w:jc w:val="both"/>
              <w:rPr>
                <w:rFonts w:ascii="Lato" w:eastAsia="Aptos" w:hAnsi="Lato" w:cs="TimesNewRomanPSMT"/>
                <w:kern w:val="2"/>
                <w:sz w:val="20"/>
                <w:szCs w:val="20"/>
                <w:lang w:eastAsia="en-US"/>
                <w14:ligatures w14:val="standardContextual"/>
              </w:rPr>
            </w:pPr>
            <w:r w:rsidRPr="003B4F3F">
              <w:rPr>
                <w:rFonts w:ascii="Lato" w:eastAsia="Calibri" w:hAnsi="Lato"/>
                <w:sz w:val="20"/>
                <w:szCs w:val="20"/>
              </w:rPr>
              <w:t xml:space="preserve">Biorąc pod uwagę powyższe, wątpliwości na etapie stosowania projektowanego art. 47 ust. 1b pkt 1 Prawa przedsiębiorców może budzić czy przepis ten znajduje zastosowanie również do kontroli prowadzonych przez Komendanta Głównego Policji na podstawie art. 43 ust. 2 </w:t>
            </w:r>
            <w:r w:rsidRPr="0020313D">
              <w:rPr>
                <w:rFonts w:ascii="Lato" w:eastAsia="Calibri" w:hAnsi="Lato"/>
                <w:i/>
                <w:sz w:val="20"/>
                <w:szCs w:val="20"/>
              </w:rPr>
              <w:t>ustawy o ochronie osób i mienia.</w:t>
            </w:r>
            <w:r w:rsidRPr="003B4F3F">
              <w:rPr>
                <w:rFonts w:ascii="Lato" w:eastAsia="Calibri" w:hAnsi="Lato"/>
                <w:sz w:val="20"/>
                <w:szCs w:val="20"/>
              </w:rPr>
              <w:t xml:space="preserve"> Zgodnie z przyjętą systematyką ustawy kontrola ta stanowi bowiem element nadzoru Komendanta Głównego Policji nad działalnością specjalistycznych uzbrojonych formacji ochronnych, o którym mowa w rozdziale</w:t>
            </w:r>
            <w:r w:rsidR="007034CB">
              <w:rPr>
                <w:rFonts w:ascii="Lato" w:eastAsia="Calibri" w:hAnsi="Lato"/>
                <w:sz w:val="20"/>
                <w:szCs w:val="20"/>
              </w:rPr>
              <w:t xml:space="preserve">             </w:t>
            </w:r>
            <w:r w:rsidRPr="003B4F3F">
              <w:rPr>
                <w:rFonts w:ascii="Lato" w:eastAsia="Calibri" w:hAnsi="Lato"/>
                <w:sz w:val="20"/>
                <w:szCs w:val="20"/>
              </w:rPr>
              <w:t xml:space="preserve"> 7 </w:t>
            </w:r>
            <w:r w:rsidRPr="0020313D">
              <w:rPr>
                <w:rFonts w:ascii="Lato" w:eastAsia="Calibri" w:hAnsi="Lato"/>
                <w:i/>
                <w:sz w:val="20"/>
                <w:szCs w:val="20"/>
              </w:rPr>
              <w:t>ustawy o ochronie osób i mienia</w:t>
            </w:r>
            <w:r w:rsidRPr="003B4F3F">
              <w:rPr>
                <w:rFonts w:ascii="Lato" w:eastAsia="Calibri" w:hAnsi="Lato"/>
                <w:sz w:val="20"/>
                <w:szCs w:val="20"/>
              </w:rPr>
              <w:t xml:space="preserve">. Sprawowanie tego nadzoru jest autonomicznym zadaniem </w:t>
            </w:r>
            <w:r w:rsidRPr="003B4F3F">
              <w:rPr>
                <w:rFonts w:ascii="Lato" w:eastAsia="Calibri" w:hAnsi="Lato"/>
                <w:sz w:val="20"/>
                <w:szCs w:val="20"/>
              </w:rPr>
              <w:lastRenderedPageBreak/>
              <w:t>Komendanta Głównego Policji, niezależnym od możliwości sprawowania przez niego, w przypadku upoważnienia przez ministra właściwego do spraw wewnętrznych, kontroli działalności gospodarczej w zakresie usług ochrony osób i mienia wymagającej koncesji. W związku z powyższym proponuje się jednoznaczne przesądzenie tej kwestii w projektowanej ustawie.</w:t>
            </w:r>
          </w:p>
        </w:tc>
        <w:tc>
          <w:tcPr>
            <w:tcW w:w="5812" w:type="dxa"/>
            <w:shd w:val="clear" w:color="auto" w:fill="auto"/>
          </w:tcPr>
          <w:p w:rsidR="00DC29C2" w:rsidRPr="000A131D" w:rsidRDefault="00DC29C2" w:rsidP="00DC29C2">
            <w:pPr>
              <w:spacing w:after="120"/>
              <w:jc w:val="both"/>
              <w:rPr>
                <w:rFonts w:ascii="Lato" w:hAnsi="Lato"/>
                <w:sz w:val="20"/>
                <w:szCs w:val="20"/>
              </w:rPr>
            </w:pPr>
            <w:r w:rsidRPr="000A131D">
              <w:rPr>
                <w:rFonts w:ascii="Lato" w:hAnsi="Lato"/>
                <w:sz w:val="20"/>
                <w:szCs w:val="20"/>
              </w:rPr>
              <w:lastRenderedPageBreak/>
              <w:t xml:space="preserve">Zastąpić proponowany zapis art. 47 ust. 1b w następujący sposób: </w:t>
            </w:r>
          </w:p>
          <w:p w:rsidR="00DC29C2" w:rsidRPr="000A131D" w:rsidRDefault="00DC29C2" w:rsidP="00DC29C2">
            <w:pPr>
              <w:pStyle w:val="Akapitzlist"/>
              <w:spacing w:after="120"/>
              <w:ind w:left="426"/>
              <w:jc w:val="both"/>
              <w:rPr>
                <w:rFonts w:ascii="Lato" w:hAnsi="Lato"/>
                <w:sz w:val="20"/>
                <w:szCs w:val="20"/>
              </w:rPr>
            </w:pPr>
            <w:r w:rsidRPr="000A131D">
              <w:rPr>
                <w:rFonts w:ascii="Lato" w:hAnsi="Lato" w:cs="Times New Roman"/>
                <w:sz w:val="20"/>
                <w:szCs w:val="20"/>
              </w:rPr>
              <w:t xml:space="preserve">„1b </w:t>
            </w:r>
            <w:r w:rsidRPr="000A131D">
              <w:rPr>
                <w:rFonts w:ascii="Lato" w:hAnsi="Lato"/>
                <w:sz w:val="20"/>
                <w:szCs w:val="20"/>
              </w:rPr>
              <w:t>Przepisu ust. 1a nie stosuje się do:</w:t>
            </w:r>
          </w:p>
          <w:p w:rsidR="00DC29C2" w:rsidRPr="000A131D" w:rsidRDefault="00DC29C2" w:rsidP="00DC29C2">
            <w:pPr>
              <w:pStyle w:val="ZLITPKTzmpktliter"/>
              <w:numPr>
                <w:ilvl w:val="0"/>
                <w:numId w:val="1"/>
              </w:numPr>
              <w:spacing w:after="120" w:line="240" w:lineRule="auto"/>
              <w:ind w:left="567" w:hanging="425"/>
              <w:rPr>
                <w:rFonts w:ascii="Lato" w:hAnsi="Lato" w:cs="Calibri"/>
                <w:sz w:val="20"/>
              </w:rPr>
            </w:pPr>
            <w:r w:rsidRPr="000A131D">
              <w:rPr>
                <w:rFonts w:ascii="Lato" w:hAnsi="Lato"/>
                <w:sz w:val="20"/>
              </w:rPr>
              <w:t xml:space="preserve">kontroli koncesjonowanej działalności gospodarczej prowadzonej na podstawie </w:t>
            </w:r>
            <w:r w:rsidRPr="000A131D">
              <w:rPr>
                <w:rFonts w:ascii="Lato" w:hAnsi="Lato" w:cs="Calibri"/>
                <w:sz w:val="20"/>
              </w:rPr>
              <w:t xml:space="preserve">ustawy z dnia 13 czerwca 2019 r. o wykonywaniu działalności gospodarczej </w:t>
            </w:r>
            <w:r w:rsidRPr="000A131D">
              <w:rPr>
                <w:rFonts w:ascii="Lato" w:hAnsi="Lato" w:cs="Calibri"/>
                <w:sz w:val="20"/>
              </w:rPr>
              <w:br/>
              <w:t xml:space="preserve">w zakresie wytwarzania i obrotu materiałami wybuchowymi, bronią, amunicją oraz wyrobami i technologią o przeznaczeniu wojskowym lub policyjnym </w:t>
            </w:r>
            <w:r w:rsidRPr="000A131D">
              <w:rPr>
                <w:rFonts w:ascii="Lato" w:hAnsi="Lato" w:cs="Calibri"/>
                <w:sz w:val="20"/>
              </w:rPr>
              <w:br/>
              <w:t>(</w:t>
            </w:r>
            <w:r w:rsidRPr="000A131D">
              <w:rPr>
                <w:rFonts w:ascii="Lato" w:hAnsi="Lato"/>
                <w:sz w:val="20"/>
              </w:rPr>
              <w:t>Dz. U. z 2023 r., poz. 1743</w:t>
            </w:r>
            <w:r w:rsidRPr="000A131D">
              <w:rPr>
                <w:rFonts w:ascii="Lato" w:hAnsi="Lato" w:cs="Calibri"/>
                <w:sz w:val="20"/>
              </w:rPr>
              <w:t>);</w:t>
            </w:r>
          </w:p>
          <w:p w:rsidR="00DC29C2" w:rsidRPr="000A131D" w:rsidRDefault="00DC29C2" w:rsidP="00DC29C2">
            <w:pPr>
              <w:pStyle w:val="ZLITPKTzmpktliter"/>
              <w:numPr>
                <w:ilvl w:val="0"/>
                <w:numId w:val="1"/>
              </w:numPr>
              <w:spacing w:after="120" w:line="240" w:lineRule="auto"/>
              <w:ind w:left="567" w:hanging="425"/>
              <w:rPr>
                <w:rFonts w:ascii="Lato" w:hAnsi="Lato" w:cs="Calibri"/>
                <w:sz w:val="20"/>
              </w:rPr>
            </w:pPr>
            <w:r w:rsidRPr="000A131D">
              <w:rPr>
                <w:rFonts w:ascii="Lato" w:hAnsi="Lato" w:cs="Calibri"/>
                <w:sz w:val="20"/>
              </w:rPr>
              <w:t>kontroli prowadzonej na podstawie ustawy z dnia 22 sierpnia 1997 r. o ochronie osób i mienia (Dz.U. z 2021 r.,  poz. 1995);</w:t>
            </w:r>
          </w:p>
          <w:p w:rsidR="00DC29C2" w:rsidRPr="000A131D" w:rsidRDefault="00DC29C2" w:rsidP="00DC29C2">
            <w:pPr>
              <w:pStyle w:val="ZLITPKTzmpktliter"/>
              <w:numPr>
                <w:ilvl w:val="0"/>
                <w:numId w:val="1"/>
              </w:numPr>
              <w:spacing w:after="120" w:line="240" w:lineRule="auto"/>
              <w:ind w:left="567" w:hanging="425"/>
              <w:rPr>
                <w:rFonts w:ascii="Lato" w:hAnsi="Lato" w:cs="Calibri"/>
                <w:sz w:val="20"/>
              </w:rPr>
            </w:pPr>
            <w:r w:rsidRPr="000A131D">
              <w:rPr>
                <w:rFonts w:ascii="Lato" w:hAnsi="Lato" w:cs="Calibri"/>
                <w:sz w:val="20"/>
              </w:rPr>
              <w:t xml:space="preserve">kontroli regulowanej działalności gospodarczej prowadzonej na podstawie ustawy </w:t>
            </w:r>
            <w:r w:rsidRPr="000A131D">
              <w:rPr>
                <w:rFonts w:ascii="Lato" w:hAnsi="Lato"/>
                <w:sz w:val="20"/>
              </w:rPr>
              <w:t>z dnia 6 lipca 2001 r. o usługach detektywistycznych (Dz. U. 2020 r. poz. 129);</w:t>
            </w:r>
          </w:p>
          <w:p w:rsidR="00DC29C2" w:rsidRPr="000A131D" w:rsidRDefault="00DC29C2" w:rsidP="00DC29C2">
            <w:pPr>
              <w:pStyle w:val="Akapitzlist"/>
              <w:numPr>
                <w:ilvl w:val="0"/>
                <w:numId w:val="1"/>
              </w:numPr>
              <w:spacing w:after="120" w:line="240" w:lineRule="auto"/>
              <w:ind w:left="567" w:hanging="425"/>
              <w:jc w:val="both"/>
              <w:rPr>
                <w:rFonts w:ascii="Lato" w:hAnsi="Lato"/>
                <w:sz w:val="20"/>
                <w:szCs w:val="20"/>
              </w:rPr>
            </w:pPr>
            <w:r w:rsidRPr="000A131D">
              <w:rPr>
                <w:rFonts w:ascii="Lato" w:hAnsi="Lato"/>
                <w:sz w:val="20"/>
                <w:szCs w:val="20"/>
              </w:rPr>
              <w:t>kontroli i analiz będących we właściwości organów Krajowej Administracji Skarbowej”.</w:t>
            </w:r>
          </w:p>
          <w:p w:rsidR="00DC29C2" w:rsidRDefault="00DC29C2" w:rsidP="00DC29C2">
            <w:pPr>
              <w:jc w:val="center"/>
              <w:rPr>
                <w:rFonts w:ascii="Lato" w:hAnsi="Lato" w:cstheme="minorHAnsi"/>
                <w:sz w:val="20"/>
                <w:szCs w:val="20"/>
              </w:rPr>
            </w:pPr>
          </w:p>
          <w:p w:rsidR="00F45A25" w:rsidRDefault="00F45A25" w:rsidP="00F45A25">
            <w:pPr>
              <w:jc w:val="both"/>
              <w:rPr>
                <w:rFonts w:asciiTheme="minorHAnsi" w:hAnsiTheme="minorHAnsi" w:cstheme="minorHAnsi"/>
                <w:sz w:val="22"/>
                <w:szCs w:val="22"/>
              </w:rPr>
            </w:pPr>
            <w:r>
              <w:rPr>
                <w:rFonts w:ascii="Lato" w:hAnsi="Lato" w:cstheme="minorHAnsi"/>
                <w:sz w:val="20"/>
                <w:szCs w:val="20"/>
              </w:rPr>
              <w:t xml:space="preserve">Stosownie do powyższej propozycji proponuje się również </w:t>
            </w:r>
            <w:r>
              <w:rPr>
                <w:rFonts w:asciiTheme="minorHAnsi" w:hAnsiTheme="minorHAnsi" w:cstheme="minorHAnsi"/>
                <w:sz w:val="22"/>
                <w:szCs w:val="22"/>
              </w:rPr>
              <w:t xml:space="preserve">uzupełnienie uzasadnienia do projektu na str. 53, poprzez wskazanie, że: </w:t>
            </w:r>
          </w:p>
          <w:p w:rsidR="00F45A25" w:rsidRDefault="00F45A25" w:rsidP="00F45A25">
            <w:pPr>
              <w:jc w:val="both"/>
              <w:rPr>
                <w:rFonts w:asciiTheme="minorHAnsi" w:hAnsiTheme="minorHAnsi" w:cstheme="minorHAnsi"/>
                <w:sz w:val="22"/>
                <w:szCs w:val="22"/>
              </w:rPr>
            </w:pPr>
            <w:r>
              <w:rPr>
                <w:rFonts w:asciiTheme="minorHAnsi" w:hAnsiTheme="minorHAnsi" w:cstheme="minorHAnsi"/>
                <w:sz w:val="22"/>
                <w:szCs w:val="22"/>
              </w:rPr>
              <w:t>„</w:t>
            </w:r>
            <w:r w:rsidRPr="00F6285A">
              <w:rPr>
                <w:rFonts w:asciiTheme="minorHAnsi" w:hAnsiTheme="minorHAnsi" w:cstheme="minorHAnsi"/>
                <w:sz w:val="22"/>
                <w:szCs w:val="22"/>
              </w:rPr>
              <w:t xml:space="preserve">Zmiany w zakresie art. 47 </w:t>
            </w:r>
            <w:proofErr w:type="spellStart"/>
            <w:r w:rsidRPr="00F6285A">
              <w:rPr>
                <w:rFonts w:asciiTheme="minorHAnsi" w:hAnsiTheme="minorHAnsi" w:cstheme="minorHAnsi"/>
                <w:sz w:val="22"/>
                <w:szCs w:val="22"/>
              </w:rPr>
              <w:t>Pp</w:t>
            </w:r>
            <w:proofErr w:type="spellEnd"/>
            <w:r w:rsidRPr="00F6285A">
              <w:rPr>
                <w:rFonts w:asciiTheme="minorHAnsi" w:hAnsiTheme="minorHAnsi" w:cstheme="minorHAnsi"/>
                <w:sz w:val="22"/>
                <w:szCs w:val="22"/>
              </w:rPr>
              <w:t xml:space="preserve"> związane są z wprowadzeniem obowiązku publikacji przez organ kontroli okresowej analizy </w:t>
            </w:r>
            <w:r w:rsidRPr="00F6285A">
              <w:rPr>
                <w:rFonts w:asciiTheme="minorHAnsi" w:hAnsiTheme="minorHAnsi" w:cstheme="minorHAnsi"/>
                <w:sz w:val="22"/>
                <w:szCs w:val="22"/>
              </w:rPr>
              <w:lastRenderedPageBreak/>
              <w:t>prawdopodobieństwa naruszenia prawa w ramach wykonywania działalności gospodarczej. Powyższy obowiązek nie znajdzie zastosowania do kontroli</w:t>
            </w:r>
            <w:r>
              <w:rPr>
                <w:rFonts w:asciiTheme="minorHAnsi" w:hAnsiTheme="minorHAnsi" w:cstheme="minorHAnsi"/>
                <w:b/>
                <w:sz w:val="22"/>
                <w:szCs w:val="22"/>
              </w:rPr>
              <w:t xml:space="preserve"> </w:t>
            </w:r>
            <w:r w:rsidRPr="000A131D">
              <w:rPr>
                <w:rFonts w:ascii="Lato" w:hAnsi="Lato"/>
                <w:sz w:val="20"/>
              </w:rPr>
              <w:t xml:space="preserve">koncesjonowanej działalności gospodarczej prowadzonej na podstawie </w:t>
            </w:r>
            <w:r w:rsidRPr="000A131D">
              <w:rPr>
                <w:rFonts w:ascii="Lato" w:hAnsi="Lato" w:cs="Calibri"/>
                <w:sz w:val="20"/>
              </w:rPr>
              <w:t>ustawy z dnia 13 czerwca 2019 r. o wykonyw</w:t>
            </w:r>
            <w:r>
              <w:rPr>
                <w:rFonts w:ascii="Lato" w:hAnsi="Lato" w:cs="Calibri"/>
                <w:sz w:val="20"/>
              </w:rPr>
              <w:t xml:space="preserve">aniu działalności gospodarczej </w:t>
            </w:r>
            <w:r w:rsidRPr="000A131D">
              <w:rPr>
                <w:rFonts w:ascii="Lato" w:hAnsi="Lato" w:cs="Calibri"/>
                <w:sz w:val="20"/>
              </w:rPr>
              <w:t xml:space="preserve">w zakresie wytwarzania i obrotu materiałami wybuchowymi, bronią, amunicją oraz wyrobami i technologią o przeznaczeniu wojskowym lub policyjnym </w:t>
            </w:r>
            <w:r w:rsidRPr="000A131D">
              <w:rPr>
                <w:rFonts w:ascii="Lato" w:hAnsi="Lato" w:cs="Calibri"/>
                <w:sz w:val="20"/>
              </w:rPr>
              <w:br/>
              <w:t>(</w:t>
            </w:r>
            <w:r w:rsidRPr="000A131D">
              <w:rPr>
                <w:rFonts w:ascii="Lato" w:hAnsi="Lato"/>
                <w:sz w:val="20"/>
              </w:rPr>
              <w:t>Dz. U. z 2023 r., poz. 1743</w:t>
            </w:r>
            <w:r>
              <w:rPr>
                <w:rFonts w:ascii="Lato" w:hAnsi="Lato"/>
                <w:sz w:val="20"/>
              </w:rPr>
              <w:t>)</w:t>
            </w:r>
            <w:r>
              <w:rPr>
                <w:rFonts w:asciiTheme="minorHAnsi" w:hAnsiTheme="minorHAnsi" w:cstheme="minorHAnsi"/>
                <w:sz w:val="22"/>
                <w:szCs w:val="22"/>
              </w:rPr>
              <w:t>,</w:t>
            </w:r>
            <w:r w:rsidRPr="00F6285A">
              <w:rPr>
                <w:rFonts w:asciiTheme="minorHAnsi" w:hAnsiTheme="minorHAnsi" w:cstheme="minorHAnsi"/>
                <w:sz w:val="22"/>
                <w:szCs w:val="22"/>
              </w:rPr>
              <w:t xml:space="preserve"> </w:t>
            </w:r>
            <w:r w:rsidRPr="000A131D">
              <w:rPr>
                <w:rFonts w:ascii="Lato" w:hAnsi="Lato" w:cs="Calibri"/>
                <w:sz w:val="20"/>
              </w:rPr>
              <w:t>kontroli prowadzonej na podstawie ustawy z dnia 22 sierpnia 1997 r. o ochronie osób i mienia (Dz.U. z 2021 r.,  poz. 1995)</w:t>
            </w:r>
            <w:r w:rsidR="0030723A">
              <w:rPr>
                <w:rFonts w:ascii="Lato" w:hAnsi="Lato" w:cs="Calibri"/>
                <w:sz w:val="20"/>
              </w:rPr>
              <w:t xml:space="preserve">, </w:t>
            </w:r>
            <w:r w:rsidR="0030723A" w:rsidRPr="000A131D">
              <w:rPr>
                <w:rFonts w:ascii="Lato" w:hAnsi="Lato" w:cs="Calibri"/>
                <w:sz w:val="20"/>
              </w:rPr>
              <w:t xml:space="preserve">kontroli regulowanej działalności gospodarczej prowadzonej na podstawie ustawy </w:t>
            </w:r>
            <w:r w:rsidR="0030723A" w:rsidRPr="000A131D">
              <w:rPr>
                <w:rFonts w:ascii="Lato" w:hAnsi="Lato"/>
                <w:sz w:val="20"/>
              </w:rPr>
              <w:t>z dnia 6 lipca 2001 r. o usługach detektywistycznych (Dz. U. 2020 r. poz. 129)</w:t>
            </w:r>
            <w:r w:rsidR="0030723A">
              <w:rPr>
                <w:rFonts w:ascii="Lato" w:hAnsi="Lato"/>
                <w:sz w:val="20"/>
              </w:rPr>
              <w:t xml:space="preserve"> </w:t>
            </w:r>
            <w:r w:rsidRPr="00F6285A">
              <w:rPr>
                <w:rFonts w:asciiTheme="minorHAnsi" w:hAnsiTheme="minorHAnsi" w:cstheme="minorHAnsi"/>
                <w:sz w:val="22"/>
                <w:szCs w:val="22"/>
              </w:rPr>
              <w:t>a także do kontroli i analiz będących we właściwości organów Krajowej Administracji Skarbowej</w:t>
            </w:r>
            <w:r>
              <w:rPr>
                <w:rFonts w:asciiTheme="minorHAnsi" w:hAnsiTheme="minorHAnsi" w:cstheme="minorHAnsi"/>
                <w:sz w:val="22"/>
                <w:szCs w:val="22"/>
              </w:rPr>
              <w:t>”.</w:t>
            </w:r>
          </w:p>
          <w:p w:rsidR="00F45A25" w:rsidRPr="000A131D" w:rsidRDefault="00F45A25" w:rsidP="00F45A25">
            <w:pPr>
              <w:rPr>
                <w:rFonts w:ascii="Lato" w:hAnsi="Lato" w:cstheme="minorHAnsi"/>
                <w:sz w:val="20"/>
                <w:szCs w:val="20"/>
              </w:rPr>
            </w:pPr>
          </w:p>
        </w:tc>
        <w:tc>
          <w:tcPr>
            <w:tcW w:w="1359" w:type="dxa"/>
          </w:tcPr>
          <w:p w:rsidR="00DC29C2" w:rsidRPr="000A131D" w:rsidRDefault="00DC29C2" w:rsidP="00DC29C2">
            <w:pPr>
              <w:jc w:val="center"/>
              <w:rPr>
                <w:rFonts w:ascii="Lato" w:hAnsi="Lato" w:cstheme="minorHAnsi"/>
                <w:sz w:val="20"/>
                <w:szCs w:val="20"/>
              </w:rPr>
            </w:pPr>
          </w:p>
        </w:tc>
      </w:tr>
      <w:tr w:rsidR="00373983" w:rsidRPr="000A131D" w:rsidTr="003F6982">
        <w:trPr>
          <w:trHeight w:val="2684"/>
        </w:trPr>
        <w:tc>
          <w:tcPr>
            <w:tcW w:w="562" w:type="dxa"/>
            <w:shd w:val="clear" w:color="auto" w:fill="auto"/>
          </w:tcPr>
          <w:p w:rsidR="00373983" w:rsidRDefault="00B358C2" w:rsidP="00DC29C2">
            <w:pPr>
              <w:spacing w:before="120" w:after="120"/>
              <w:jc w:val="center"/>
              <w:rPr>
                <w:rFonts w:ascii="Lato" w:hAnsi="Lato" w:cstheme="minorHAnsi"/>
                <w:b/>
                <w:sz w:val="20"/>
                <w:szCs w:val="20"/>
              </w:rPr>
            </w:pPr>
            <w:r>
              <w:rPr>
                <w:rFonts w:ascii="Lato" w:hAnsi="Lato" w:cstheme="minorHAnsi"/>
                <w:b/>
                <w:sz w:val="20"/>
                <w:szCs w:val="20"/>
              </w:rPr>
              <w:lastRenderedPageBreak/>
              <w:t>5</w:t>
            </w:r>
          </w:p>
        </w:tc>
        <w:tc>
          <w:tcPr>
            <w:tcW w:w="1134" w:type="dxa"/>
            <w:shd w:val="clear" w:color="auto" w:fill="auto"/>
          </w:tcPr>
          <w:p w:rsidR="00373983" w:rsidRPr="000A131D" w:rsidRDefault="00373983" w:rsidP="00DC29C2">
            <w:pPr>
              <w:spacing w:before="60" w:after="60"/>
              <w:jc w:val="center"/>
              <w:rPr>
                <w:rFonts w:ascii="Lato" w:hAnsi="Lato" w:cstheme="minorHAnsi"/>
                <w:b/>
                <w:sz w:val="20"/>
                <w:szCs w:val="20"/>
              </w:rPr>
            </w:pPr>
            <w:r>
              <w:rPr>
                <w:rFonts w:ascii="Lato" w:hAnsi="Lato" w:cstheme="minorHAnsi"/>
                <w:b/>
                <w:sz w:val="20"/>
                <w:szCs w:val="20"/>
              </w:rPr>
              <w:t>MSWiA</w:t>
            </w:r>
          </w:p>
        </w:tc>
        <w:tc>
          <w:tcPr>
            <w:tcW w:w="1843" w:type="dxa"/>
            <w:shd w:val="clear" w:color="auto" w:fill="auto"/>
          </w:tcPr>
          <w:p w:rsidR="00373983" w:rsidRDefault="00373983" w:rsidP="00DC29C2">
            <w:pPr>
              <w:jc w:val="center"/>
              <w:rPr>
                <w:rFonts w:ascii="Lato" w:hAnsi="Lato"/>
                <w:sz w:val="20"/>
                <w:szCs w:val="20"/>
              </w:rPr>
            </w:pPr>
            <w:r>
              <w:rPr>
                <w:rFonts w:ascii="Lato" w:hAnsi="Lato"/>
                <w:sz w:val="20"/>
                <w:szCs w:val="20"/>
              </w:rPr>
              <w:t>Art. 29 pkt. 5 lit. a)</w:t>
            </w:r>
          </w:p>
          <w:p w:rsidR="00373983" w:rsidRDefault="00373983" w:rsidP="00DC29C2">
            <w:pPr>
              <w:jc w:val="center"/>
              <w:rPr>
                <w:rFonts w:ascii="Lato" w:hAnsi="Lato"/>
                <w:sz w:val="20"/>
                <w:szCs w:val="20"/>
              </w:rPr>
            </w:pPr>
          </w:p>
          <w:p w:rsidR="00373983" w:rsidRPr="000A131D" w:rsidRDefault="00373983" w:rsidP="00DC29C2">
            <w:pPr>
              <w:jc w:val="center"/>
              <w:rPr>
                <w:rFonts w:ascii="Lato" w:hAnsi="Lato"/>
                <w:sz w:val="20"/>
                <w:szCs w:val="20"/>
              </w:rPr>
            </w:pPr>
            <w:r>
              <w:rPr>
                <w:rFonts w:ascii="Lato" w:hAnsi="Lato"/>
                <w:sz w:val="20"/>
                <w:szCs w:val="20"/>
              </w:rPr>
              <w:t xml:space="preserve">dot. zmiany art. 48 </w:t>
            </w:r>
            <w:r w:rsidRPr="000A131D">
              <w:rPr>
                <w:rFonts w:ascii="Lato" w:hAnsi="Lato"/>
                <w:sz w:val="20"/>
                <w:szCs w:val="20"/>
              </w:rPr>
              <w:t xml:space="preserve">ustawy </w:t>
            </w:r>
            <w:r w:rsidRPr="000A131D">
              <w:rPr>
                <w:rFonts w:ascii="Lato" w:hAnsi="Lato"/>
                <w:sz w:val="20"/>
                <w:szCs w:val="20"/>
              </w:rPr>
              <w:br/>
              <w:t xml:space="preserve">z dnia 6 marca 2018 ‒ Prawo Przedsiębiorców      </w:t>
            </w:r>
          </w:p>
        </w:tc>
        <w:tc>
          <w:tcPr>
            <w:tcW w:w="4678" w:type="dxa"/>
            <w:shd w:val="clear" w:color="auto" w:fill="auto"/>
          </w:tcPr>
          <w:p w:rsidR="00373983" w:rsidRPr="003B4F3F" w:rsidRDefault="00373983" w:rsidP="003B4F3F">
            <w:pPr>
              <w:pStyle w:val="Bodytext10"/>
              <w:spacing w:line="240" w:lineRule="atLeast"/>
              <w:ind w:firstLine="0"/>
              <w:jc w:val="both"/>
              <w:rPr>
                <w:rFonts w:ascii="Lato" w:eastAsia="Calibri" w:hAnsi="Lato" w:cs="Times New Roman"/>
                <w:sz w:val="20"/>
                <w:szCs w:val="20"/>
              </w:rPr>
            </w:pPr>
            <w:r w:rsidRPr="003B4F3F">
              <w:rPr>
                <w:rFonts w:ascii="Lato" w:eastAsia="Calibri" w:hAnsi="Lato" w:cs="Times New Roman"/>
                <w:sz w:val="20"/>
                <w:szCs w:val="20"/>
              </w:rPr>
              <w:t xml:space="preserve">Proponowany przepis, który obliguje do zawierania </w:t>
            </w:r>
            <w:r w:rsidR="0004774D" w:rsidRPr="003B4F3F">
              <w:rPr>
                <w:rFonts w:ascii="Lato" w:eastAsia="Calibri" w:hAnsi="Lato" w:cs="Times New Roman"/>
                <w:sz w:val="20"/>
                <w:szCs w:val="20"/>
              </w:rPr>
              <w:t xml:space="preserve">            </w:t>
            </w:r>
            <w:r w:rsidRPr="003B4F3F">
              <w:rPr>
                <w:rFonts w:ascii="Lato" w:eastAsia="Calibri" w:hAnsi="Lato" w:cs="Times New Roman"/>
                <w:sz w:val="20"/>
                <w:szCs w:val="20"/>
              </w:rPr>
              <w:t>w zawiadomieniu o zamiarze wszczęcia kontroli wstępnej listy dokumentów i informacji związanych z zakresem przedmiotowej kontroli, których oczekuje organ kontroli w jej trakcie, nie znajduje uzasadnienia, ponieważ stanowi czynność kontroli. W ocenie MSWiA zmiana prowadząca do zobligowania organów państwowych do przekazywania, na etapie zawiadomienia o zamiarze wszczęcia kontroli, wstępnej listy dokumentów i informacji związanych z zakresem przedmiotowym kontroli - powinna być sprowadzona do fakultatywności.</w:t>
            </w:r>
          </w:p>
          <w:p w:rsidR="00373983" w:rsidRPr="003B4F3F" w:rsidRDefault="00373983" w:rsidP="003B4F3F">
            <w:pPr>
              <w:pStyle w:val="Bodytext10"/>
              <w:spacing w:after="360" w:line="240" w:lineRule="atLeast"/>
              <w:ind w:firstLine="0"/>
              <w:jc w:val="both"/>
            </w:pPr>
            <w:r w:rsidRPr="003B4F3F">
              <w:rPr>
                <w:rFonts w:ascii="Lato" w:eastAsia="Calibri" w:hAnsi="Lato" w:cs="Times New Roman"/>
                <w:sz w:val="20"/>
                <w:szCs w:val="20"/>
              </w:rPr>
              <w:t>Może zdarzyć się, szczególnie w podmiotach wysokiego ryzyka, iż przekazanie podmiotowi przez organ państwowy zainteresowania określonymi dokumentami już na etapie zawiadomienia, da podmiotowi czas na usunięcie tych dokumentów lub ich przerobienie, bądź wytworzenie dokumentów now</w:t>
            </w:r>
            <w:r w:rsidR="003B4F3F">
              <w:rPr>
                <w:rFonts w:ascii="Lato" w:eastAsia="Calibri" w:hAnsi="Lato" w:cs="Times New Roman"/>
                <w:sz w:val="20"/>
                <w:szCs w:val="20"/>
              </w:rPr>
              <w:t xml:space="preserve">ych. Z tego powodu, automatyzm </w:t>
            </w:r>
            <w:r w:rsidRPr="003B4F3F">
              <w:rPr>
                <w:rFonts w:ascii="Lato" w:eastAsia="Calibri" w:hAnsi="Lato" w:cs="Times New Roman"/>
                <w:sz w:val="20"/>
                <w:szCs w:val="20"/>
              </w:rPr>
              <w:t>i obligatoryjność w powyższym zakresie nie są wskazane.</w:t>
            </w:r>
          </w:p>
        </w:tc>
        <w:tc>
          <w:tcPr>
            <w:tcW w:w="5812" w:type="dxa"/>
            <w:shd w:val="clear" w:color="auto" w:fill="auto"/>
          </w:tcPr>
          <w:p w:rsidR="00373983" w:rsidRPr="000A131D" w:rsidRDefault="00373983" w:rsidP="00DC29C2">
            <w:pPr>
              <w:spacing w:after="120"/>
              <w:jc w:val="both"/>
              <w:rPr>
                <w:rFonts w:ascii="Lato" w:hAnsi="Lato"/>
                <w:sz w:val="20"/>
                <w:szCs w:val="20"/>
              </w:rPr>
            </w:pPr>
          </w:p>
        </w:tc>
        <w:tc>
          <w:tcPr>
            <w:tcW w:w="1359" w:type="dxa"/>
          </w:tcPr>
          <w:p w:rsidR="00373983" w:rsidRPr="000A131D" w:rsidRDefault="00373983" w:rsidP="00DC29C2">
            <w:pPr>
              <w:jc w:val="center"/>
              <w:rPr>
                <w:rFonts w:ascii="Lato" w:hAnsi="Lato" w:cstheme="minorHAnsi"/>
                <w:sz w:val="20"/>
                <w:szCs w:val="20"/>
              </w:rPr>
            </w:pPr>
          </w:p>
        </w:tc>
      </w:tr>
      <w:tr w:rsidR="00373983" w:rsidRPr="000A131D" w:rsidTr="003F6982">
        <w:trPr>
          <w:trHeight w:val="2684"/>
        </w:trPr>
        <w:tc>
          <w:tcPr>
            <w:tcW w:w="562" w:type="dxa"/>
            <w:shd w:val="clear" w:color="auto" w:fill="auto"/>
          </w:tcPr>
          <w:p w:rsidR="00373983" w:rsidRDefault="00B358C2" w:rsidP="00DC29C2">
            <w:pPr>
              <w:spacing w:before="120" w:after="120"/>
              <w:jc w:val="center"/>
              <w:rPr>
                <w:rFonts w:ascii="Lato" w:hAnsi="Lato" w:cstheme="minorHAnsi"/>
                <w:b/>
                <w:sz w:val="20"/>
                <w:szCs w:val="20"/>
              </w:rPr>
            </w:pPr>
            <w:r>
              <w:rPr>
                <w:rFonts w:ascii="Lato" w:hAnsi="Lato" w:cstheme="minorHAnsi"/>
                <w:b/>
                <w:sz w:val="20"/>
                <w:szCs w:val="20"/>
              </w:rPr>
              <w:lastRenderedPageBreak/>
              <w:t>6</w:t>
            </w:r>
          </w:p>
        </w:tc>
        <w:tc>
          <w:tcPr>
            <w:tcW w:w="1134" w:type="dxa"/>
            <w:shd w:val="clear" w:color="auto" w:fill="auto"/>
          </w:tcPr>
          <w:p w:rsidR="00373983" w:rsidRDefault="00373983" w:rsidP="00DC29C2">
            <w:pPr>
              <w:spacing w:before="60" w:after="60"/>
              <w:jc w:val="center"/>
              <w:rPr>
                <w:rFonts w:ascii="Lato" w:hAnsi="Lato" w:cstheme="minorHAnsi"/>
                <w:b/>
                <w:sz w:val="20"/>
                <w:szCs w:val="20"/>
              </w:rPr>
            </w:pPr>
            <w:r>
              <w:rPr>
                <w:rFonts w:ascii="Lato" w:hAnsi="Lato" w:cstheme="minorHAnsi"/>
                <w:b/>
                <w:sz w:val="20"/>
                <w:szCs w:val="20"/>
              </w:rPr>
              <w:t>MSWiA</w:t>
            </w:r>
          </w:p>
        </w:tc>
        <w:tc>
          <w:tcPr>
            <w:tcW w:w="1843" w:type="dxa"/>
            <w:shd w:val="clear" w:color="auto" w:fill="auto"/>
          </w:tcPr>
          <w:p w:rsidR="0004774D" w:rsidRDefault="0004774D" w:rsidP="0004774D">
            <w:pPr>
              <w:jc w:val="center"/>
              <w:rPr>
                <w:rFonts w:ascii="Lato" w:hAnsi="Lato"/>
                <w:sz w:val="20"/>
                <w:szCs w:val="20"/>
              </w:rPr>
            </w:pPr>
            <w:r>
              <w:rPr>
                <w:rFonts w:ascii="Lato" w:hAnsi="Lato"/>
                <w:sz w:val="20"/>
                <w:szCs w:val="20"/>
              </w:rPr>
              <w:t>Art. 29 pkt. 8 lit. b)</w:t>
            </w:r>
          </w:p>
          <w:p w:rsidR="00373983" w:rsidRDefault="00373983" w:rsidP="00DC29C2">
            <w:pPr>
              <w:jc w:val="center"/>
              <w:rPr>
                <w:rFonts w:ascii="Lato" w:hAnsi="Lato"/>
                <w:sz w:val="20"/>
                <w:szCs w:val="20"/>
              </w:rPr>
            </w:pPr>
          </w:p>
          <w:p w:rsidR="0004774D" w:rsidRDefault="0004774D" w:rsidP="00DC29C2">
            <w:pPr>
              <w:jc w:val="center"/>
              <w:rPr>
                <w:rFonts w:ascii="Lato" w:hAnsi="Lato"/>
                <w:sz w:val="20"/>
                <w:szCs w:val="20"/>
              </w:rPr>
            </w:pPr>
            <w:r>
              <w:rPr>
                <w:rFonts w:ascii="Lato" w:hAnsi="Lato"/>
                <w:sz w:val="20"/>
                <w:szCs w:val="20"/>
              </w:rPr>
              <w:t xml:space="preserve">dot. zmiany art. 48 </w:t>
            </w:r>
            <w:r w:rsidRPr="000A131D">
              <w:rPr>
                <w:rFonts w:ascii="Lato" w:hAnsi="Lato"/>
                <w:sz w:val="20"/>
                <w:szCs w:val="20"/>
              </w:rPr>
              <w:t xml:space="preserve">ustawy </w:t>
            </w:r>
            <w:r w:rsidRPr="000A131D">
              <w:rPr>
                <w:rFonts w:ascii="Lato" w:hAnsi="Lato"/>
                <w:sz w:val="20"/>
                <w:szCs w:val="20"/>
              </w:rPr>
              <w:br/>
              <w:t xml:space="preserve">z dnia 6 marca 2018 ‒ Prawo Przedsiębiorców      </w:t>
            </w:r>
          </w:p>
        </w:tc>
        <w:tc>
          <w:tcPr>
            <w:tcW w:w="4678" w:type="dxa"/>
            <w:shd w:val="clear" w:color="auto" w:fill="auto"/>
          </w:tcPr>
          <w:p w:rsidR="0004774D" w:rsidRPr="003B4F3F" w:rsidRDefault="0004774D" w:rsidP="003B4F3F">
            <w:pPr>
              <w:spacing w:line="240" w:lineRule="atLeast"/>
              <w:jc w:val="both"/>
              <w:rPr>
                <w:rFonts w:ascii="Lato" w:eastAsia="Calibri" w:hAnsi="Lato"/>
                <w:sz w:val="20"/>
                <w:szCs w:val="20"/>
              </w:rPr>
            </w:pPr>
            <w:r w:rsidRPr="003B4F3F">
              <w:rPr>
                <w:rFonts w:ascii="Lato" w:eastAsia="Calibri" w:hAnsi="Lato"/>
                <w:sz w:val="20"/>
                <w:szCs w:val="20"/>
              </w:rPr>
              <w:t>MSWiA podtrzymuje uwagę dot. art. 29 pkt. 8 lit. b) projektu w zakresie w jakim projekt ten prowadzi do uchylenia art. 59 ust. 2 ustawy prawo przedsiębiorców, nie tylko ze względu na podniesioną już przez MSWiA kwestię, iż „</w:t>
            </w:r>
            <w:r w:rsidRPr="0020313D">
              <w:rPr>
                <w:rFonts w:ascii="Lato" w:eastAsia="Calibri" w:hAnsi="Lato"/>
                <w:i/>
                <w:sz w:val="20"/>
                <w:szCs w:val="20"/>
              </w:rPr>
              <w:t>Konsekwencją uchylenia ust. 2 w art. 59 ustawy - Prawo przedsiębiorców będzie wystąpienie okoliczności, w których organ kontrolny pomimo formalnego zakończenia realizowanych czynności kontroli oraz nałożeniu sankcji na pracodawcę oraz pracownika, obowiązany będzie do rozpatrywania wniesionego sprzeciwu, czyniąc ze wskazanego instrumentu czynność techniczną, nie mającą wpływu na rozstrzygnięcie podjętej kontroli, a de facto jedynie dodatkowo obciążającą organy kontrolne”,</w:t>
            </w:r>
            <w:r w:rsidRPr="003B4F3F">
              <w:rPr>
                <w:rFonts w:ascii="Lato" w:eastAsia="Calibri" w:hAnsi="Lato"/>
                <w:sz w:val="20"/>
                <w:szCs w:val="20"/>
              </w:rPr>
              <w:t xml:space="preserve"> ale także na sprzeczność instytucji sprzeciwu z kontrolą prowadzoną ad hoc, w przypadkach, o których mowa jest w art. 48 ust. 11 pkt 2, art. 50 ust. 2 pkt 2, art. 54 ust. 1 pkt 2, art. 55 ust. 2 pkt 2 oraz art. 62, kiedy to przeprowadzenie kontroli jest podyktowane koniecznością przeciwdziałania czynom zabronionym, a więc kontrola powinna być dokonywana sprawnie i szybko.</w:t>
            </w:r>
          </w:p>
          <w:p w:rsidR="0004774D" w:rsidRPr="003B4F3F" w:rsidRDefault="0004774D" w:rsidP="003B4F3F">
            <w:pPr>
              <w:pStyle w:val="Bodytext10"/>
              <w:spacing w:line="240" w:lineRule="atLeast"/>
              <w:ind w:firstLine="0"/>
              <w:jc w:val="both"/>
              <w:rPr>
                <w:rFonts w:ascii="Lato" w:eastAsia="Calibri" w:hAnsi="Lato" w:cs="Times New Roman"/>
                <w:sz w:val="20"/>
                <w:szCs w:val="20"/>
              </w:rPr>
            </w:pPr>
            <w:r w:rsidRPr="003B4F3F">
              <w:rPr>
                <w:rFonts w:ascii="Lato" w:eastAsia="Calibri" w:hAnsi="Lato" w:cs="Times New Roman"/>
                <w:sz w:val="20"/>
                <w:szCs w:val="20"/>
              </w:rPr>
              <w:t>Jako, że wniesienie sprzeciwu ma nie wstrzymywać kontroli ad hoc, to jak</w:t>
            </w:r>
            <w:r w:rsidR="0030723A" w:rsidRPr="003B4F3F">
              <w:rPr>
                <w:rFonts w:ascii="Lato" w:eastAsia="Calibri" w:hAnsi="Lato" w:cs="Times New Roman"/>
                <w:sz w:val="20"/>
                <w:szCs w:val="20"/>
              </w:rPr>
              <w:t xml:space="preserve"> już wsk</w:t>
            </w:r>
            <w:r w:rsidR="0020313D">
              <w:rPr>
                <w:rFonts w:ascii="Lato" w:eastAsia="Calibri" w:hAnsi="Lato" w:cs="Times New Roman"/>
                <w:sz w:val="20"/>
                <w:szCs w:val="20"/>
              </w:rPr>
              <w:t>a</w:t>
            </w:r>
            <w:r w:rsidR="0030723A" w:rsidRPr="003B4F3F">
              <w:rPr>
                <w:rFonts w:ascii="Lato" w:eastAsia="Calibri" w:hAnsi="Lato" w:cs="Times New Roman"/>
                <w:sz w:val="20"/>
                <w:szCs w:val="20"/>
              </w:rPr>
              <w:t>zywano</w:t>
            </w:r>
            <w:r w:rsidRPr="003B4F3F">
              <w:rPr>
                <w:rFonts w:ascii="Lato" w:eastAsia="Calibri" w:hAnsi="Lato" w:cs="Times New Roman"/>
                <w:sz w:val="20"/>
                <w:szCs w:val="20"/>
              </w:rPr>
              <w:t>, może dochodzić do sytuacji kiedy organ będzie musiał rozpatrzyć sprzeciw już po zakończeniu kontroli.</w:t>
            </w:r>
          </w:p>
          <w:p w:rsidR="00B358C2" w:rsidRDefault="0004774D" w:rsidP="00B358C2">
            <w:pPr>
              <w:pStyle w:val="Bodytext10"/>
              <w:spacing w:line="240" w:lineRule="atLeast"/>
              <w:ind w:firstLine="0"/>
              <w:jc w:val="both"/>
            </w:pPr>
            <w:r w:rsidRPr="003B4F3F">
              <w:rPr>
                <w:rFonts w:ascii="Lato" w:eastAsia="Calibri" w:hAnsi="Lato" w:cs="Times New Roman"/>
                <w:sz w:val="20"/>
                <w:szCs w:val="20"/>
              </w:rPr>
              <w:t xml:space="preserve">W opinii MSWiA jedynym praktycznym efektem zniesienia art. 59 ust. 2 </w:t>
            </w:r>
            <w:proofErr w:type="spellStart"/>
            <w:r w:rsidRPr="003B4F3F">
              <w:rPr>
                <w:rFonts w:ascii="Lato" w:eastAsia="Calibri" w:hAnsi="Lato" w:cs="Times New Roman"/>
                <w:sz w:val="20"/>
                <w:szCs w:val="20"/>
              </w:rPr>
              <w:t>uPP</w:t>
            </w:r>
            <w:proofErr w:type="spellEnd"/>
            <w:r w:rsidRPr="003B4F3F">
              <w:rPr>
                <w:rFonts w:ascii="Lato" w:eastAsia="Calibri" w:hAnsi="Lato" w:cs="Times New Roman"/>
                <w:sz w:val="20"/>
                <w:szCs w:val="20"/>
              </w:rPr>
              <w:t>, będzie zwiększenie obciążenia organów administracji państwowej prowadzących kontrolę koniecznością dodatkowego rozpatrywania sprzeciwów w przypadkach dotąd nieprzewidzianych przez przepisy prawa</w:t>
            </w:r>
            <w:r>
              <w:rPr>
                <w:rStyle w:val="Bodytext1"/>
              </w:rPr>
              <w:t>.</w:t>
            </w:r>
          </w:p>
          <w:p w:rsidR="00373983" w:rsidRPr="00B358C2" w:rsidRDefault="00373983" w:rsidP="00B358C2">
            <w:pPr>
              <w:rPr>
                <w:rFonts w:eastAsia="Arial"/>
              </w:rPr>
            </w:pPr>
          </w:p>
        </w:tc>
        <w:tc>
          <w:tcPr>
            <w:tcW w:w="5812" w:type="dxa"/>
            <w:shd w:val="clear" w:color="auto" w:fill="auto"/>
          </w:tcPr>
          <w:p w:rsidR="00373983" w:rsidRPr="000A131D" w:rsidRDefault="00373983" w:rsidP="00DC29C2">
            <w:pPr>
              <w:spacing w:after="120"/>
              <w:jc w:val="both"/>
              <w:rPr>
                <w:rFonts w:ascii="Lato" w:hAnsi="Lato"/>
                <w:sz w:val="20"/>
                <w:szCs w:val="20"/>
              </w:rPr>
            </w:pPr>
          </w:p>
        </w:tc>
        <w:tc>
          <w:tcPr>
            <w:tcW w:w="1359" w:type="dxa"/>
          </w:tcPr>
          <w:p w:rsidR="00373983" w:rsidRPr="000A131D" w:rsidRDefault="00373983" w:rsidP="00DC29C2">
            <w:pPr>
              <w:jc w:val="center"/>
              <w:rPr>
                <w:rFonts w:ascii="Lato" w:hAnsi="Lato" w:cstheme="minorHAnsi"/>
                <w:sz w:val="20"/>
                <w:szCs w:val="20"/>
              </w:rPr>
            </w:pPr>
          </w:p>
        </w:tc>
      </w:tr>
      <w:tr w:rsidR="00B358C2" w:rsidRPr="000A131D" w:rsidTr="003F6982">
        <w:trPr>
          <w:trHeight w:val="2684"/>
        </w:trPr>
        <w:tc>
          <w:tcPr>
            <w:tcW w:w="562" w:type="dxa"/>
            <w:shd w:val="clear" w:color="auto" w:fill="auto"/>
          </w:tcPr>
          <w:p w:rsidR="00B358C2" w:rsidRDefault="00B358C2" w:rsidP="00DC29C2">
            <w:pPr>
              <w:spacing w:before="120" w:after="120"/>
              <w:jc w:val="center"/>
              <w:rPr>
                <w:rFonts w:ascii="Lato" w:hAnsi="Lato" w:cstheme="minorHAnsi"/>
                <w:b/>
                <w:sz w:val="20"/>
                <w:szCs w:val="20"/>
              </w:rPr>
            </w:pPr>
            <w:r>
              <w:rPr>
                <w:rFonts w:ascii="Lato" w:hAnsi="Lato" w:cstheme="minorHAnsi"/>
                <w:b/>
                <w:sz w:val="20"/>
                <w:szCs w:val="20"/>
              </w:rPr>
              <w:lastRenderedPageBreak/>
              <w:t>7</w:t>
            </w:r>
          </w:p>
        </w:tc>
        <w:tc>
          <w:tcPr>
            <w:tcW w:w="1134" w:type="dxa"/>
            <w:shd w:val="clear" w:color="auto" w:fill="auto"/>
          </w:tcPr>
          <w:p w:rsidR="00B358C2" w:rsidRDefault="00B358C2" w:rsidP="00DC29C2">
            <w:pPr>
              <w:spacing w:before="60" w:after="60"/>
              <w:jc w:val="center"/>
              <w:rPr>
                <w:rFonts w:ascii="Lato" w:hAnsi="Lato" w:cstheme="minorHAnsi"/>
                <w:b/>
                <w:sz w:val="20"/>
                <w:szCs w:val="20"/>
              </w:rPr>
            </w:pPr>
            <w:r>
              <w:rPr>
                <w:rFonts w:ascii="Lato" w:hAnsi="Lato" w:cstheme="minorHAnsi"/>
                <w:b/>
                <w:sz w:val="20"/>
                <w:szCs w:val="20"/>
              </w:rPr>
              <w:t>MSWiA</w:t>
            </w:r>
          </w:p>
        </w:tc>
        <w:tc>
          <w:tcPr>
            <w:tcW w:w="1843" w:type="dxa"/>
            <w:shd w:val="clear" w:color="auto" w:fill="auto"/>
          </w:tcPr>
          <w:p w:rsidR="00B358C2" w:rsidRDefault="00B358C2" w:rsidP="0004774D">
            <w:pPr>
              <w:jc w:val="center"/>
              <w:rPr>
                <w:rFonts w:ascii="Lato" w:hAnsi="Lato"/>
                <w:sz w:val="20"/>
                <w:szCs w:val="20"/>
              </w:rPr>
            </w:pPr>
            <w:r>
              <w:rPr>
                <w:rFonts w:ascii="Lato" w:hAnsi="Lato"/>
                <w:sz w:val="20"/>
                <w:szCs w:val="20"/>
              </w:rPr>
              <w:t>Uwaga ogólna</w:t>
            </w:r>
          </w:p>
        </w:tc>
        <w:tc>
          <w:tcPr>
            <w:tcW w:w="4678" w:type="dxa"/>
            <w:shd w:val="clear" w:color="auto" w:fill="auto"/>
          </w:tcPr>
          <w:p w:rsidR="00B358C2" w:rsidRPr="00B358C2" w:rsidRDefault="00B358C2" w:rsidP="00B358C2">
            <w:pPr>
              <w:jc w:val="both"/>
              <w:rPr>
                <w:rFonts w:ascii="Lato" w:eastAsia="Calibri" w:hAnsi="Lato"/>
                <w:sz w:val="20"/>
                <w:szCs w:val="20"/>
              </w:rPr>
            </w:pPr>
            <w:r w:rsidRPr="00B358C2">
              <w:rPr>
                <w:rFonts w:ascii="Lato" w:eastAsia="Calibri" w:hAnsi="Lato"/>
                <w:sz w:val="20"/>
                <w:szCs w:val="20"/>
              </w:rPr>
              <w:t>W związku występującymi wątpliwości interpretacyjnymi w zakresie możliwości podejmowania i prowadzenia przez cudzoziemców działalności nieewidencjonowanej na terytorium RP, w ocenie MSWiA zasadnym jest wprowadzenie regulacji, która w sposób jednoznaczny rozstrzygnie przedmiotową kwestię.</w:t>
            </w:r>
          </w:p>
          <w:p w:rsidR="00B358C2" w:rsidRPr="00B358C2" w:rsidRDefault="00B358C2" w:rsidP="00B358C2">
            <w:pPr>
              <w:jc w:val="both"/>
              <w:rPr>
                <w:rFonts w:ascii="Lato" w:eastAsia="Calibri" w:hAnsi="Lato"/>
                <w:sz w:val="20"/>
                <w:szCs w:val="20"/>
              </w:rPr>
            </w:pPr>
            <w:r w:rsidRPr="00B358C2">
              <w:rPr>
                <w:rFonts w:ascii="Lato" w:eastAsia="Calibri" w:hAnsi="Lato"/>
                <w:sz w:val="20"/>
                <w:szCs w:val="20"/>
              </w:rPr>
              <w:t xml:space="preserve">W tym celu, koniecznym jest dokonanie zmiany art. 2 ustawy z dnia 6 marca 2018 r. </w:t>
            </w:r>
            <w:r w:rsidRPr="00B358C2">
              <w:rPr>
                <w:rFonts w:ascii="Lato" w:eastAsia="Calibri" w:hAnsi="Lato"/>
                <w:i/>
                <w:sz w:val="20"/>
                <w:szCs w:val="20"/>
              </w:rPr>
              <w:t xml:space="preserve">o zasadach uczestnictwa przedsiębiorców zagranicznych i innych osób zagranicznych w obrocie gospodarczym na terytorium Rzeczpospolitej Polskiej, </w:t>
            </w:r>
            <w:r w:rsidRPr="00B358C2">
              <w:rPr>
                <w:rFonts w:ascii="Lato" w:eastAsia="Calibri" w:hAnsi="Lato"/>
                <w:sz w:val="20"/>
                <w:szCs w:val="20"/>
              </w:rPr>
              <w:t xml:space="preserve">polegającej na dodaniu ust. 3, wskazującego, iż: osoby zagraniczne nie mogą podejmować i wykonywać działalność, </w:t>
            </w:r>
            <w:r w:rsidR="007034CB">
              <w:rPr>
                <w:rFonts w:ascii="Lato" w:eastAsia="Calibri" w:hAnsi="Lato"/>
                <w:sz w:val="20"/>
                <w:szCs w:val="20"/>
              </w:rPr>
              <w:t xml:space="preserve">               </w:t>
            </w:r>
            <w:r w:rsidRPr="00B358C2">
              <w:rPr>
                <w:rFonts w:ascii="Lato" w:eastAsia="Calibri" w:hAnsi="Lato"/>
                <w:sz w:val="20"/>
                <w:szCs w:val="20"/>
              </w:rPr>
              <w:t>o której mowa w art. 5 ust. 1</w:t>
            </w:r>
            <w:r w:rsidR="00020047">
              <w:rPr>
                <w:rFonts w:ascii="Lato" w:eastAsia="Calibri" w:hAnsi="Lato"/>
                <w:sz w:val="20"/>
                <w:szCs w:val="20"/>
              </w:rPr>
              <w:t xml:space="preserve"> </w:t>
            </w:r>
            <w:r w:rsidRPr="00B358C2">
              <w:rPr>
                <w:rFonts w:ascii="Lato" w:eastAsia="Calibri" w:hAnsi="Lato"/>
                <w:sz w:val="20"/>
                <w:szCs w:val="20"/>
              </w:rPr>
              <w:t>ustawy z dnia 6 marca 2018 r. Prawo przedsiębiorców.</w:t>
            </w:r>
          </w:p>
          <w:p w:rsidR="00B358C2" w:rsidRPr="00B358C2" w:rsidRDefault="00B358C2" w:rsidP="00B358C2">
            <w:pPr>
              <w:jc w:val="both"/>
              <w:rPr>
                <w:rFonts w:ascii="Lato" w:eastAsia="Calibri" w:hAnsi="Lato"/>
                <w:sz w:val="20"/>
                <w:szCs w:val="20"/>
              </w:rPr>
            </w:pPr>
            <w:r w:rsidRPr="00B358C2">
              <w:rPr>
                <w:rFonts w:ascii="Lato" w:eastAsia="Calibri" w:hAnsi="Lato"/>
                <w:sz w:val="20"/>
                <w:szCs w:val="20"/>
              </w:rPr>
              <w:t xml:space="preserve">Wskazać należy, iż potrzeba ograniczenia możliwości korzystania z działalności nieewidencjonowanej przez cudzoziemców została uwzględniona w „Białej księdze”, która  stanowi efekt pracy Grupy Roboczej  ds. wyeliminowania  nieprawidłowości </w:t>
            </w:r>
            <w:r w:rsidR="007034CB">
              <w:rPr>
                <w:rFonts w:ascii="Lato" w:eastAsia="Calibri" w:hAnsi="Lato"/>
                <w:sz w:val="20"/>
                <w:szCs w:val="20"/>
              </w:rPr>
              <w:t xml:space="preserve">                                           </w:t>
            </w:r>
            <w:r w:rsidRPr="00B358C2">
              <w:rPr>
                <w:rFonts w:ascii="Lato" w:eastAsia="Calibri" w:hAnsi="Lato"/>
                <w:sz w:val="20"/>
                <w:szCs w:val="20"/>
              </w:rPr>
              <w:t>w systemie  wizowym RP, a jej celem jest  poprawa regulacji prawnych  i praktyk, odnoszących się do procesu wydawania wiz studenckich i  pracowniczych , a także legalizacji pobytu cudzoziemców w Polsce.</w:t>
            </w:r>
          </w:p>
          <w:p w:rsidR="00B358C2" w:rsidRPr="003B4F3F" w:rsidRDefault="00B358C2" w:rsidP="003B4F3F">
            <w:pPr>
              <w:spacing w:line="240" w:lineRule="atLeast"/>
              <w:jc w:val="both"/>
              <w:rPr>
                <w:rFonts w:ascii="Lato" w:eastAsia="Calibri" w:hAnsi="Lato"/>
                <w:sz w:val="20"/>
                <w:szCs w:val="20"/>
              </w:rPr>
            </w:pPr>
          </w:p>
        </w:tc>
        <w:tc>
          <w:tcPr>
            <w:tcW w:w="5812" w:type="dxa"/>
            <w:shd w:val="clear" w:color="auto" w:fill="auto"/>
          </w:tcPr>
          <w:p w:rsidR="00B358C2" w:rsidRPr="000A131D" w:rsidRDefault="00B358C2" w:rsidP="00DC29C2">
            <w:pPr>
              <w:spacing w:after="120"/>
              <w:jc w:val="both"/>
              <w:rPr>
                <w:rFonts w:ascii="Lato" w:hAnsi="Lato"/>
                <w:sz w:val="20"/>
                <w:szCs w:val="20"/>
              </w:rPr>
            </w:pPr>
          </w:p>
        </w:tc>
        <w:tc>
          <w:tcPr>
            <w:tcW w:w="1359" w:type="dxa"/>
          </w:tcPr>
          <w:p w:rsidR="00B358C2" w:rsidRPr="000A131D" w:rsidRDefault="00B358C2" w:rsidP="00DC29C2">
            <w:pPr>
              <w:jc w:val="center"/>
              <w:rPr>
                <w:rFonts w:ascii="Lato" w:hAnsi="Lato" w:cstheme="minorHAnsi"/>
                <w:sz w:val="20"/>
                <w:szCs w:val="20"/>
              </w:rPr>
            </w:pPr>
          </w:p>
        </w:tc>
      </w:tr>
    </w:tbl>
    <w:p w:rsidR="00C64B1B" w:rsidRPr="000A131D" w:rsidRDefault="00C64B1B" w:rsidP="00C64B1B">
      <w:pPr>
        <w:jc w:val="center"/>
        <w:rPr>
          <w:rFonts w:ascii="Lato" w:hAnsi="Lato"/>
          <w:sz w:val="20"/>
          <w:szCs w:val="20"/>
        </w:rPr>
      </w:pPr>
    </w:p>
    <w:sectPr w:rsidR="00C64B1B" w:rsidRPr="000A131D" w:rsidSect="00A06425">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1D2" w:rsidRDefault="00E461D2" w:rsidP="009232D6">
      <w:r>
        <w:separator/>
      </w:r>
    </w:p>
  </w:endnote>
  <w:endnote w:type="continuationSeparator" w:id="0">
    <w:p w:rsidR="00E461D2" w:rsidRDefault="00E461D2" w:rsidP="0092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E10002FF" w:usb1="5000ECFF" w:usb2="00000021" w:usb3="00000000" w:csb0="0000019F" w:csb1="00000000"/>
  </w:font>
  <w:font w:name="Aptos">
    <w:altName w:val="Arial"/>
    <w:charset w:val="00"/>
    <w:family w:val="swiss"/>
    <w:pitch w:val="variable"/>
    <w:sig w:usb0="00000001" w:usb1="00000003" w:usb2="00000000" w:usb3="00000000" w:csb0="000001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352488"/>
      <w:docPartObj>
        <w:docPartGallery w:val="Page Numbers (Bottom of Page)"/>
        <w:docPartUnique/>
      </w:docPartObj>
    </w:sdtPr>
    <w:sdtContent>
      <w:p w:rsidR="00480D00" w:rsidRDefault="00480D00">
        <w:pPr>
          <w:pStyle w:val="Stopka"/>
          <w:jc w:val="right"/>
        </w:pPr>
        <w:r>
          <w:fldChar w:fldCharType="begin"/>
        </w:r>
        <w:r>
          <w:instrText>PAGE   \* MERGEFORMAT</w:instrText>
        </w:r>
        <w:r>
          <w:fldChar w:fldCharType="separate"/>
        </w:r>
        <w:r>
          <w:rPr>
            <w:noProof/>
          </w:rPr>
          <w:t>12</w:t>
        </w:r>
        <w:r>
          <w:fldChar w:fldCharType="end"/>
        </w:r>
      </w:p>
    </w:sdtContent>
  </w:sdt>
  <w:p w:rsidR="00480D00" w:rsidRDefault="00480D0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1D2" w:rsidRDefault="00E461D2" w:rsidP="009232D6">
      <w:r>
        <w:separator/>
      </w:r>
    </w:p>
  </w:footnote>
  <w:footnote w:type="continuationSeparator" w:id="0">
    <w:p w:rsidR="00E461D2" w:rsidRDefault="00E461D2" w:rsidP="00923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9460ED"/>
    <w:multiLevelType w:val="hybridMultilevel"/>
    <w:tmpl w:val="60BEE664"/>
    <w:lvl w:ilvl="0" w:tplc="99BC4A0E">
      <w:start w:val="1"/>
      <w:numFmt w:val="decimal"/>
      <w:lvlText w:val="%1)"/>
      <w:lvlJc w:val="left"/>
      <w:pPr>
        <w:ind w:left="700" w:hanging="435"/>
      </w:pPr>
      <w:rPr>
        <w:rFonts w:hint="default"/>
      </w:rPr>
    </w:lvl>
    <w:lvl w:ilvl="1" w:tplc="04150019" w:tentative="1">
      <w:start w:val="1"/>
      <w:numFmt w:val="lowerLetter"/>
      <w:lvlText w:val="%2."/>
      <w:lvlJc w:val="left"/>
      <w:pPr>
        <w:ind w:left="1345" w:hanging="360"/>
      </w:pPr>
    </w:lvl>
    <w:lvl w:ilvl="2" w:tplc="0415001B" w:tentative="1">
      <w:start w:val="1"/>
      <w:numFmt w:val="lowerRoman"/>
      <w:lvlText w:val="%3."/>
      <w:lvlJc w:val="right"/>
      <w:pPr>
        <w:ind w:left="2065" w:hanging="180"/>
      </w:pPr>
    </w:lvl>
    <w:lvl w:ilvl="3" w:tplc="0415000F" w:tentative="1">
      <w:start w:val="1"/>
      <w:numFmt w:val="decimal"/>
      <w:lvlText w:val="%4."/>
      <w:lvlJc w:val="left"/>
      <w:pPr>
        <w:ind w:left="2785" w:hanging="360"/>
      </w:pPr>
    </w:lvl>
    <w:lvl w:ilvl="4" w:tplc="04150019" w:tentative="1">
      <w:start w:val="1"/>
      <w:numFmt w:val="lowerLetter"/>
      <w:lvlText w:val="%5."/>
      <w:lvlJc w:val="left"/>
      <w:pPr>
        <w:ind w:left="3505" w:hanging="360"/>
      </w:pPr>
    </w:lvl>
    <w:lvl w:ilvl="5" w:tplc="0415001B" w:tentative="1">
      <w:start w:val="1"/>
      <w:numFmt w:val="lowerRoman"/>
      <w:lvlText w:val="%6."/>
      <w:lvlJc w:val="right"/>
      <w:pPr>
        <w:ind w:left="4225" w:hanging="180"/>
      </w:pPr>
    </w:lvl>
    <w:lvl w:ilvl="6" w:tplc="0415000F" w:tentative="1">
      <w:start w:val="1"/>
      <w:numFmt w:val="decimal"/>
      <w:lvlText w:val="%7."/>
      <w:lvlJc w:val="left"/>
      <w:pPr>
        <w:ind w:left="4945" w:hanging="360"/>
      </w:pPr>
    </w:lvl>
    <w:lvl w:ilvl="7" w:tplc="04150019" w:tentative="1">
      <w:start w:val="1"/>
      <w:numFmt w:val="lowerLetter"/>
      <w:lvlText w:val="%8."/>
      <w:lvlJc w:val="left"/>
      <w:pPr>
        <w:ind w:left="5665" w:hanging="360"/>
      </w:pPr>
    </w:lvl>
    <w:lvl w:ilvl="8" w:tplc="0415001B" w:tentative="1">
      <w:start w:val="1"/>
      <w:numFmt w:val="lowerRoman"/>
      <w:lvlText w:val="%9."/>
      <w:lvlJc w:val="right"/>
      <w:pPr>
        <w:ind w:left="6385" w:hanging="180"/>
      </w:pPr>
    </w:lvl>
  </w:abstractNum>
  <w:abstractNum w:abstractNumId="1" w15:restartNumberingAfterBreak="0">
    <w:nsid w:val="5048207D"/>
    <w:multiLevelType w:val="hybridMultilevel"/>
    <w:tmpl w:val="E2C8B1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20047"/>
    <w:rsid w:val="00034258"/>
    <w:rsid w:val="0004774D"/>
    <w:rsid w:val="000A131D"/>
    <w:rsid w:val="00140BE8"/>
    <w:rsid w:val="00183B69"/>
    <w:rsid w:val="0019648E"/>
    <w:rsid w:val="001F4608"/>
    <w:rsid w:val="0020313D"/>
    <w:rsid w:val="002715B2"/>
    <w:rsid w:val="00295684"/>
    <w:rsid w:val="0030723A"/>
    <w:rsid w:val="003124D1"/>
    <w:rsid w:val="00373983"/>
    <w:rsid w:val="003907D1"/>
    <w:rsid w:val="003B4105"/>
    <w:rsid w:val="003B4F3F"/>
    <w:rsid w:val="003F6982"/>
    <w:rsid w:val="00480D00"/>
    <w:rsid w:val="004D086F"/>
    <w:rsid w:val="00514902"/>
    <w:rsid w:val="005F6527"/>
    <w:rsid w:val="006705EC"/>
    <w:rsid w:val="00696181"/>
    <w:rsid w:val="006E16E9"/>
    <w:rsid w:val="007034CB"/>
    <w:rsid w:val="007C3E31"/>
    <w:rsid w:val="00807385"/>
    <w:rsid w:val="009232D6"/>
    <w:rsid w:val="00944932"/>
    <w:rsid w:val="009B6AAE"/>
    <w:rsid w:val="009C0D3D"/>
    <w:rsid w:val="009E5FDB"/>
    <w:rsid w:val="00A06425"/>
    <w:rsid w:val="00A102E0"/>
    <w:rsid w:val="00A16697"/>
    <w:rsid w:val="00AC7796"/>
    <w:rsid w:val="00B358C2"/>
    <w:rsid w:val="00B871B6"/>
    <w:rsid w:val="00BB1768"/>
    <w:rsid w:val="00C07449"/>
    <w:rsid w:val="00C64B1B"/>
    <w:rsid w:val="00C82328"/>
    <w:rsid w:val="00C93578"/>
    <w:rsid w:val="00CD5EB0"/>
    <w:rsid w:val="00CE6B63"/>
    <w:rsid w:val="00CE6F16"/>
    <w:rsid w:val="00D04B75"/>
    <w:rsid w:val="00D43C93"/>
    <w:rsid w:val="00DC29C2"/>
    <w:rsid w:val="00E14C33"/>
    <w:rsid w:val="00E461D2"/>
    <w:rsid w:val="00E80344"/>
    <w:rsid w:val="00EB0A70"/>
    <w:rsid w:val="00F00D01"/>
    <w:rsid w:val="00F04BA5"/>
    <w:rsid w:val="00F200BB"/>
    <w:rsid w:val="00F45A25"/>
    <w:rsid w:val="00F61F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72"/>
    <w:qFormat/>
    <w:rsid w:val="001F460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ZLITPKTzmpktliter">
    <w:name w:val="Z_LIT/PKT – zm. pkt literą"/>
    <w:basedOn w:val="Normalny"/>
    <w:uiPriority w:val="47"/>
    <w:qFormat/>
    <w:rsid w:val="001F4608"/>
    <w:pPr>
      <w:spacing w:line="360" w:lineRule="auto"/>
      <w:ind w:left="1497" w:hanging="510"/>
      <w:jc w:val="both"/>
    </w:pPr>
    <w:rPr>
      <w:rFonts w:ascii="Times" w:eastAsiaTheme="minorEastAsia" w:hAnsi="Times" w:cs="Arial"/>
      <w:bCs/>
      <w:szCs w:val="20"/>
    </w:rPr>
  </w:style>
  <w:style w:type="character" w:customStyle="1" w:styleId="IGindeksgrny">
    <w:name w:val="_IG_ – indeks górny"/>
    <w:basedOn w:val="Domylnaczcionkaakapitu"/>
    <w:uiPriority w:val="2"/>
    <w:qFormat/>
    <w:rsid w:val="00A16697"/>
    <w:rPr>
      <w:b w:val="0"/>
      <w:i w:val="0"/>
      <w:vanish w:val="0"/>
      <w:spacing w:val="0"/>
      <w:vertAlign w:val="superscript"/>
    </w:rPr>
  </w:style>
  <w:style w:type="character" w:customStyle="1" w:styleId="Bodytext1">
    <w:name w:val="Body text|1_"/>
    <w:basedOn w:val="Domylnaczcionkaakapitu"/>
    <w:link w:val="Bodytext10"/>
    <w:rsid w:val="000A131D"/>
    <w:rPr>
      <w:rFonts w:ascii="Arial" w:eastAsia="Arial" w:hAnsi="Arial" w:cs="Arial"/>
      <w:sz w:val="19"/>
      <w:szCs w:val="19"/>
    </w:rPr>
  </w:style>
  <w:style w:type="paragraph" w:customStyle="1" w:styleId="Bodytext10">
    <w:name w:val="Body text|1"/>
    <w:basedOn w:val="Normalny"/>
    <w:link w:val="Bodytext1"/>
    <w:rsid w:val="000A131D"/>
    <w:pPr>
      <w:widowControl w:val="0"/>
      <w:spacing w:after="100" w:line="293" w:lineRule="auto"/>
      <w:ind w:firstLine="400"/>
    </w:pPr>
    <w:rPr>
      <w:rFonts w:ascii="Arial" w:eastAsia="Arial" w:hAnsi="Arial" w:cs="Arial"/>
      <w:sz w:val="19"/>
      <w:szCs w:val="19"/>
    </w:rPr>
  </w:style>
  <w:style w:type="character" w:customStyle="1" w:styleId="Heading21">
    <w:name w:val="Heading #2|1_"/>
    <w:basedOn w:val="Domylnaczcionkaakapitu"/>
    <w:link w:val="Heading210"/>
    <w:rsid w:val="00EB0A70"/>
    <w:rPr>
      <w:rFonts w:ascii="Arial" w:eastAsia="Arial" w:hAnsi="Arial" w:cs="Arial"/>
      <w:b/>
      <w:bCs/>
      <w:sz w:val="28"/>
      <w:szCs w:val="28"/>
    </w:rPr>
  </w:style>
  <w:style w:type="character" w:customStyle="1" w:styleId="Other1">
    <w:name w:val="Other|1_"/>
    <w:basedOn w:val="Domylnaczcionkaakapitu"/>
    <w:link w:val="Other10"/>
    <w:rsid w:val="00EB0A70"/>
    <w:rPr>
      <w:rFonts w:ascii="Arial" w:eastAsia="Arial" w:hAnsi="Arial" w:cs="Arial"/>
      <w:sz w:val="19"/>
      <w:szCs w:val="19"/>
    </w:rPr>
  </w:style>
  <w:style w:type="paragraph" w:customStyle="1" w:styleId="Heading210">
    <w:name w:val="Heading #2|1"/>
    <w:basedOn w:val="Normalny"/>
    <w:link w:val="Heading21"/>
    <w:rsid w:val="00EB0A70"/>
    <w:pPr>
      <w:widowControl w:val="0"/>
      <w:ind w:firstLine="70"/>
      <w:outlineLvl w:val="1"/>
    </w:pPr>
    <w:rPr>
      <w:rFonts w:ascii="Arial" w:eastAsia="Arial" w:hAnsi="Arial" w:cs="Arial"/>
      <w:b/>
      <w:bCs/>
      <w:sz w:val="28"/>
      <w:szCs w:val="28"/>
    </w:rPr>
  </w:style>
  <w:style w:type="paragraph" w:customStyle="1" w:styleId="Other10">
    <w:name w:val="Other|1"/>
    <w:basedOn w:val="Normalny"/>
    <w:link w:val="Other1"/>
    <w:rsid w:val="00EB0A70"/>
    <w:pPr>
      <w:widowControl w:val="0"/>
      <w:spacing w:after="100" w:line="293" w:lineRule="auto"/>
      <w:ind w:firstLine="400"/>
    </w:pPr>
    <w:rPr>
      <w:rFonts w:ascii="Arial" w:eastAsia="Arial" w:hAnsi="Arial" w:cs="Arial"/>
      <w:sz w:val="19"/>
      <w:szCs w:val="19"/>
    </w:rPr>
  </w:style>
  <w:style w:type="paragraph" w:customStyle="1" w:styleId="ZARTzmartartykuempunktem">
    <w:name w:val="Z/ART(§) – zm. art. (§) artykułem (punktem)"/>
    <w:basedOn w:val="Normalny"/>
    <w:uiPriority w:val="30"/>
    <w:qFormat/>
    <w:rsid w:val="00EB0A70"/>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PKTpunkt">
    <w:name w:val="PKT – punkt"/>
    <w:uiPriority w:val="13"/>
    <w:qFormat/>
    <w:rsid w:val="00EB0A70"/>
    <w:pPr>
      <w:spacing w:line="360" w:lineRule="auto"/>
      <w:ind w:left="510" w:hanging="510"/>
      <w:jc w:val="both"/>
    </w:pPr>
    <w:rPr>
      <w:rFonts w:ascii="Times" w:eastAsiaTheme="minorEastAsia" w:hAnsi="Times" w:cs="Arial"/>
      <w:bCs/>
      <w:sz w:val="24"/>
    </w:rPr>
  </w:style>
  <w:style w:type="paragraph" w:styleId="Tekstprzypisukocowego">
    <w:name w:val="endnote text"/>
    <w:basedOn w:val="Normalny"/>
    <w:link w:val="TekstprzypisukocowegoZnak"/>
    <w:rsid w:val="009232D6"/>
    <w:rPr>
      <w:sz w:val="20"/>
      <w:szCs w:val="20"/>
    </w:rPr>
  </w:style>
  <w:style w:type="character" w:customStyle="1" w:styleId="TekstprzypisukocowegoZnak">
    <w:name w:val="Tekst przypisu końcowego Znak"/>
    <w:basedOn w:val="Domylnaczcionkaakapitu"/>
    <w:link w:val="Tekstprzypisukocowego"/>
    <w:rsid w:val="009232D6"/>
  </w:style>
  <w:style w:type="character" w:styleId="Odwoanieprzypisukocowego">
    <w:name w:val="endnote reference"/>
    <w:basedOn w:val="Domylnaczcionkaakapitu"/>
    <w:rsid w:val="009232D6"/>
    <w:rPr>
      <w:vertAlign w:val="superscript"/>
    </w:rPr>
  </w:style>
  <w:style w:type="character" w:styleId="Hipercze">
    <w:name w:val="Hyperlink"/>
    <w:basedOn w:val="Domylnaczcionkaakapitu"/>
    <w:uiPriority w:val="99"/>
    <w:unhideWhenUsed/>
    <w:rsid w:val="00295684"/>
    <w:rPr>
      <w:color w:val="0563C1"/>
      <w:u w:val="single"/>
    </w:rPr>
  </w:style>
  <w:style w:type="paragraph" w:styleId="Nagwek">
    <w:name w:val="header"/>
    <w:basedOn w:val="Normalny"/>
    <w:link w:val="NagwekZnak"/>
    <w:rsid w:val="00480D00"/>
    <w:pPr>
      <w:tabs>
        <w:tab w:val="center" w:pos="4536"/>
        <w:tab w:val="right" w:pos="9072"/>
      </w:tabs>
    </w:pPr>
  </w:style>
  <w:style w:type="character" w:customStyle="1" w:styleId="NagwekZnak">
    <w:name w:val="Nagłówek Znak"/>
    <w:basedOn w:val="Domylnaczcionkaakapitu"/>
    <w:link w:val="Nagwek"/>
    <w:rsid w:val="00480D00"/>
    <w:rPr>
      <w:sz w:val="24"/>
      <w:szCs w:val="24"/>
    </w:rPr>
  </w:style>
  <w:style w:type="paragraph" w:styleId="Stopka">
    <w:name w:val="footer"/>
    <w:basedOn w:val="Normalny"/>
    <w:link w:val="StopkaZnak"/>
    <w:uiPriority w:val="99"/>
    <w:rsid w:val="00480D00"/>
    <w:pPr>
      <w:tabs>
        <w:tab w:val="center" w:pos="4536"/>
        <w:tab w:val="right" w:pos="9072"/>
      </w:tabs>
    </w:pPr>
  </w:style>
  <w:style w:type="character" w:customStyle="1" w:styleId="StopkaZnak">
    <w:name w:val="Stopka Znak"/>
    <w:basedOn w:val="Domylnaczcionkaakapitu"/>
    <w:link w:val="Stopka"/>
    <w:uiPriority w:val="99"/>
    <w:rsid w:val="00480D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634823">
      <w:bodyDiv w:val="1"/>
      <w:marLeft w:val="0"/>
      <w:marRight w:val="0"/>
      <w:marTop w:val="0"/>
      <w:marBottom w:val="0"/>
      <w:divBdr>
        <w:top w:val="none" w:sz="0" w:space="0" w:color="auto"/>
        <w:left w:val="none" w:sz="0" w:space="0" w:color="auto"/>
        <w:bottom w:val="none" w:sz="0" w:space="0" w:color="auto"/>
        <w:right w:val="none" w:sz="0" w:space="0" w:color="auto"/>
      </w:divBdr>
    </w:div>
    <w:div w:id="1697122881">
      <w:bodyDiv w:val="1"/>
      <w:marLeft w:val="0"/>
      <w:marRight w:val="0"/>
      <w:marTop w:val="0"/>
      <w:marBottom w:val="0"/>
      <w:divBdr>
        <w:top w:val="none" w:sz="0" w:space="0" w:color="auto"/>
        <w:left w:val="none" w:sz="0" w:space="0" w:color="auto"/>
        <w:bottom w:val="none" w:sz="0" w:space="0" w:color="auto"/>
        <w:right w:val="none" w:sz="0" w:space="0" w:color="auto"/>
      </w:divBdr>
    </w:div>
    <w:div w:id="19263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krmc/-projekt-ustawy-o-zmianie-niektorych-ustaw-w-celu-deregulacji-prawa-gospodarczego-i-administracyjnego-oraz-doskonalenia-zasad-opracowywania-prawa-gospodarczeg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05412-9DD5-4C1B-A9C5-51CDA06E9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3229</Words>
  <Characters>19375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Wioletta Idaszak</cp:lastModifiedBy>
  <cp:revision>13</cp:revision>
  <dcterms:created xsi:type="dcterms:W3CDTF">2024-09-03T08:13:00Z</dcterms:created>
  <dcterms:modified xsi:type="dcterms:W3CDTF">2024-09-04T09:54:00Z</dcterms:modified>
</cp:coreProperties>
</file>